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pacing w:line="500" w:lineRule="exact"/>
        <w:jc w:val="both"/>
        <w:textAlignment w:val="auto"/>
        <w:rPr>
          <w:rFonts w:hint="eastAsia" w:ascii="黑体" w:hAnsi="黑体" w:eastAsia="黑体" w:cs="黑体"/>
          <w:b w:val="0"/>
          <w:bCs w:val="0"/>
          <w:color w:val="auto"/>
          <w:kern w:val="2"/>
          <w:sz w:val="32"/>
          <w:szCs w:val="32"/>
          <w:lang w:val="en-US" w:eastAsia="zh-CN"/>
        </w:rPr>
      </w:pPr>
    </w:p>
    <w:p>
      <w:pPr>
        <w:spacing w:line="52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南昌市自然资源和规划局东湖分局</w:t>
      </w:r>
    </w:p>
    <w:p>
      <w:pPr>
        <w:spacing w:line="52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rPr>
        <w:t>年</w:t>
      </w:r>
      <w:r>
        <w:rPr>
          <w:rFonts w:hint="eastAsia" w:ascii="方正小标宋简体" w:hAnsi="Times New Roman" w:eastAsia="方正小标宋简体" w:cs="Times New Roman"/>
          <w:sz w:val="44"/>
          <w:szCs w:val="44"/>
          <w:lang w:eastAsia="zh-CN"/>
        </w:rPr>
        <w:t>单位</w:t>
      </w:r>
      <w:r>
        <w:rPr>
          <w:rFonts w:hint="eastAsia" w:ascii="方正小标宋简体" w:hAnsi="Times New Roman" w:eastAsia="方正小标宋简体" w:cs="Times New Roman"/>
          <w:sz w:val="44"/>
          <w:szCs w:val="44"/>
        </w:rPr>
        <w:t>预算编制说明</w:t>
      </w:r>
    </w:p>
    <w:p>
      <w:pPr>
        <w:spacing w:line="520" w:lineRule="exact"/>
        <w:jc w:val="center"/>
        <w:rPr>
          <w:rFonts w:hint="eastAsia" w:ascii="方正小标宋简体" w:hAnsi="Times New Roman" w:eastAsia="方正小标宋简体" w:cs="Times New Roman"/>
          <w:sz w:val="44"/>
          <w:szCs w:val="44"/>
        </w:rPr>
      </w:pPr>
    </w:p>
    <w:p>
      <w:pPr>
        <w:spacing w:line="52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目  录</w:t>
      </w:r>
    </w:p>
    <w:p>
      <w:pPr>
        <w:pStyle w:val="5"/>
        <w:keepNext w:val="0"/>
        <w:keepLines w:val="0"/>
        <w:pageBreakBefore w:val="0"/>
        <w:kinsoku/>
        <w:wordWrap/>
        <w:overflowPunct/>
        <w:topLinePunct w:val="0"/>
        <w:bidi w:val="0"/>
        <w:spacing w:line="500" w:lineRule="exact"/>
        <w:ind w:firstLine="643" w:firstLineChars="200"/>
        <w:jc w:val="center"/>
        <w:textAlignment w:val="auto"/>
        <w:rPr>
          <w:rFonts w:ascii="仿宋" w:hAnsi="仿宋" w:eastAsia="仿宋"/>
          <w:b/>
          <w:sz w:val="32"/>
          <w:szCs w:val="32"/>
        </w:rPr>
      </w:pPr>
    </w:p>
    <w:p>
      <w:pPr>
        <w:pStyle w:val="5"/>
        <w:keepNext w:val="0"/>
        <w:keepLines w:val="0"/>
        <w:pageBreakBefore w:val="0"/>
        <w:kinsoku/>
        <w:wordWrap/>
        <w:overflowPunct/>
        <w:topLinePunct w:val="0"/>
        <w:bidi w:val="0"/>
        <w:spacing w:line="500" w:lineRule="exact"/>
        <w:ind w:firstLine="562" w:firstLineChars="200"/>
        <w:textAlignment w:val="auto"/>
        <w:rPr>
          <w:rFonts w:hAnsi="Times New Roman" w:cs="Times New Roman"/>
          <w:b/>
          <w:color w:val="auto"/>
          <w:kern w:val="2"/>
          <w:sz w:val="28"/>
          <w:szCs w:val="28"/>
        </w:rPr>
      </w:pPr>
      <w:r>
        <w:rPr>
          <w:rFonts w:hint="eastAsia" w:hAnsi="Times New Roman" w:cs="Times New Roman"/>
          <w:b/>
          <w:color w:val="auto"/>
          <w:kern w:val="2"/>
          <w:sz w:val="28"/>
          <w:szCs w:val="28"/>
        </w:rPr>
        <w:t xml:space="preserve">第一部分 南昌市自然资源和规划局东湖分局概况 </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w:t>
      </w:r>
      <w:r>
        <w:rPr>
          <w:rFonts w:hint="eastAsia" w:ascii="仿宋_GB2312" w:hAnsi="Times New Roman" w:eastAsia="仿宋_GB2312" w:cs="Times New Roman"/>
          <w:sz w:val="28"/>
          <w:szCs w:val="28"/>
          <w:lang w:eastAsia="zh-CN"/>
        </w:rPr>
        <w:t>单位</w:t>
      </w:r>
      <w:r>
        <w:rPr>
          <w:rFonts w:hint="eastAsia" w:ascii="仿宋_GB2312" w:hAnsi="Times New Roman" w:eastAsia="仿宋_GB2312" w:cs="Times New Roman"/>
          <w:sz w:val="28"/>
          <w:szCs w:val="28"/>
        </w:rPr>
        <w:t>主要职责</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w:t>
      </w:r>
      <w:r>
        <w:rPr>
          <w:rFonts w:hint="eastAsia" w:ascii="仿宋_GB2312" w:hAnsi="Times New Roman" w:eastAsia="仿宋_GB2312" w:cs="Times New Roman"/>
          <w:sz w:val="28"/>
          <w:szCs w:val="28"/>
          <w:lang w:eastAsia="zh-CN"/>
        </w:rPr>
        <w:t>单位</w:t>
      </w: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rPr>
        <w:t>年主要工作任务</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rPr>
        <w:t>三、</w:t>
      </w:r>
      <w:r>
        <w:rPr>
          <w:rFonts w:hint="eastAsia" w:ascii="仿宋_GB2312" w:hAnsi="Times New Roman" w:eastAsia="仿宋_GB2312" w:cs="Times New Roman"/>
          <w:sz w:val="28"/>
          <w:szCs w:val="28"/>
          <w:lang w:eastAsia="zh-CN"/>
        </w:rPr>
        <w:t>机构设置及人员情况</w:t>
      </w:r>
    </w:p>
    <w:p>
      <w:pPr>
        <w:pStyle w:val="5"/>
        <w:keepNext w:val="0"/>
        <w:keepLines w:val="0"/>
        <w:pageBreakBefore w:val="0"/>
        <w:kinsoku/>
        <w:wordWrap/>
        <w:overflowPunct/>
        <w:topLinePunct w:val="0"/>
        <w:bidi w:val="0"/>
        <w:spacing w:line="500" w:lineRule="exact"/>
        <w:ind w:firstLine="546" w:firstLineChars="200"/>
        <w:textAlignment w:val="auto"/>
        <w:rPr>
          <w:sz w:val="32"/>
          <w:szCs w:val="32"/>
        </w:rPr>
      </w:pPr>
      <w:r>
        <w:rPr>
          <w:rFonts w:hint="eastAsia" w:hAnsi="Calibri" w:cs="宋体"/>
          <w:b/>
          <w:color w:val="auto"/>
          <w:spacing w:val="-4"/>
          <w:kern w:val="28"/>
          <w:sz w:val="28"/>
          <w:szCs w:val="28"/>
        </w:rPr>
        <w:t>第</w:t>
      </w:r>
      <w:r>
        <w:rPr>
          <w:rFonts w:hint="eastAsia" w:hAnsi="Calibri" w:cs="宋体"/>
          <w:b/>
          <w:color w:val="auto"/>
          <w:spacing w:val="-4"/>
          <w:kern w:val="28"/>
          <w:sz w:val="28"/>
          <w:szCs w:val="28"/>
          <w:lang w:eastAsia="zh-CN"/>
        </w:rPr>
        <w:t>二</w:t>
      </w:r>
      <w:r>
        <w:rPr>
          <w:rFonts w:hint="eastAsia" w:hAnsi="Calibri" w:cs="宋体"/>
          <w:b/>
          <w:color w:val="auto"/>
          <w:spacing w:val="-4"/>
          <w:kern w:val="28"/>
          <w:sz w:val="28"/>
          <w:szCs w:val="28"/>
        </w:rPr>
        <w:t>部分 南昌市自然资源和规划局东湖分局202</w:t>
      </w:r>
      <w:r>
        <w:rPr>
          <w:rFonts w:hint="eastAsia" w:hAnsi="Calibri" w:cs="宋体"/>
          <w:b/>
          <w:color w:val="auto"/>
          <w:spacing w:val="-4"/>
          <w:kern w:val="28"/>
          <w:sz w:val="28"/>
          <w:szCs w:val="28"/>
          <w:lang w:val="en-US" w:eastAsia="zh-CN"/>
        </w:rPr>
        <w:t>3</w:t>
      </w:r>
      <w:r>
        <w:rPr>
          <w:rFonts w:hint="eastAsia" w:hAnsi="Calibri" w:cs="宋体"/>
          <w:b/>
          <w:color w:val="auto"/>
          <w:spacing w:val="-4"/>
          <w:kern w:val="28"/>
          <w:sz w:val="28"/>
          <w:szCs w:val="28"/>
        </w:rPr>
        <w:t>年</w:t>
      </w:r>
      <w:r>
        <w:rPr>
          <w:rFonts w:hint="eastAsia" w:hAnsi="Calibri" w:cs="宋体"/>
          <w:b/>
          <w:color w:val="auto"/>
          <w:spacing w:val="-4"/>
          <w:kern w:val="28"/>
          <w:sz w:val="28"/>
          <w:szCs w:val="28"/>
          <w:lang w:eastAsia="zh-CN"/>
        </w:rPr>
        <w:t>单位</w:t>
      </w:r>
      <w:r>
        <w:rPr>
          <w:rFonts w:hint="eastAsia" w:hAnsi="Calibri" w:cs="宋体"/>
          <w:b/>
          <w:color w:val="auto"/>
          <w:spacing w:val="-4"/>
          <w:kern w:val="28"/>
          <w:sz w:val="28"/>
          <w:szCs w:val="28"/>
        </w:rPr>
        <w:t>预算表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一、《收支预算总表》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lang w:eastAsia="zh-CN"/>
        </w:rPr>
        <w:t>单位</w:t>
      </w:r>
      <w:r>
        <w:rPr>
          <w:rFonts w:hint="eastAsia" w:ascii="仿宋_GB2312" w:eastAsia="仿宋_GB2312"/>
          <w:sz w:val="28"/>
          <w:szCs w:val="28"/>
        </w:rPr>
        <w:t>收入总表》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三、《</w:t>
      </w:r>
      <w:r>
        <w:rPr>
          <w:rFonts w:hint="eastAsia" w:ascii="仿宋_GB2312" w:eastAsia="仿宋_GB2312"/>
          <w:sz w:val="28"/>
          <w:szCs w:val="28"/>
          <w:lang w:eastAsia="zh-CN"/>
        </w:rPr>
        <w:t>单位支</w:t>
      </w:r>
      <w:r>
        <w:rPr>
          <w:rFonts w:hint="eastAsia" w:ascii="仿宋_GB2312" w:eastAsia="仿宋_GB2312"/>
          <w:sz w:val="28"/>
          <w:szCs w:val="28"/>
        </w:rPr>
        <w:t>出总表》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四、《财政拨款收支总表》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五、《一般公共预算支出表》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六、《一般公共预算基本支出表》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七、《</w:t>
      </w:r>
      <w:r>
        <w:rPr>
          <w:rFonts w:hint="eastAsia" w:ascii="仿宋_GB2312" w:eastAsia="仿宋_GB2312"/>
          <w:sz w:val="28"/>
          <w:szCs w:val="28"/>
          <w:lang w:eastAsia="zh-CN"/>
        </w:rPr>
        <w:t>财政拨款</w:t>
      </w:r>
      <w:r>
        <w:rPr>
          <w:rFonts w:hint="eastAsia" w:ascii="仿宋_GB2312" w:eastAsia="仿宋_GB2312"/>
          <w:sz w:val="28"/>
          <w:szCs w:val="28"/>
        </w:rPr>
        <w:t>“三公”经费支出表》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八、《政府性基金预算支出表》</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九、《国有资本经营预算支出表》</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十、《项目支出绩效目标表》</w:t>
      </w:r>
    </w:p>
    <w:p>
      <w:pPr>
        <w:pStyle w:val="2"/>
        <w:rPr>
          <w:rFonts w:hint="eastAsia" w:ascii="仿宋_GB2312" w:hAnsi="Times New Roman" w:eastAsia="仿宋_GB2312" w:cs="Times New Roman"/>
          <w:sz w:val="28"/>
          <w:szCs w:val="28"/>
        </w:rPr>
      </w:pPr>
    </w:p>
    <w:p>
      <w:pPr>
        <w:pStyle w:val="5"/>
        <w:keepNext w:val="0"/>
        <w:keepLines w:val="0"/>
        <w:pageBreakBefore w:val="0"/>
        <w:kinsoku/>
        <w:wordWrap/>
        <w:overflowPunct/>
        <w:topLinePunct w:val="0"/>
        <w:bidi w:val="0"/>
        <w:spacing w:line="500" w:lineRule="exact"/>
        <w:ind w:firstLine="546" w:firstLineChars="200"/>
        <w:textAlignment w:val="auto"/>
        <w:rPr>
          <w:rFonts w:hAnsi="Calibri" w:cs="宋体"/>
          <w:b/>
          <w:color w:val="auto"/>
          <w:spacing w:val="-4"/>
          <w:kern w:val="28"/>
          <w:sz w:val="28"/>
          <w:szCs w:val="28"/>
        </w:rPr>
      </w:pPr>
      <w:r>
        <w:rPr>
          <w:rFonts w:hint="eastAsia" w:hAnsi="Calibri" w:cs="宋体"/>
          <w:b/>
          <w:color w:val="auto"/>
          <w:spacing w:val="-4"/>
          <w:kern w:val="28"/>
          <w:sz w:val="28"/>
          <w:szCs w:val="28"/>
        </w:rPr>
        <w:t>第</w:t>
      </w:r>
      <w:r>
        <w:rPr>
          <w:rFonts w:hint="eastAsia" w:hAnsi="Calibri" w:cs="宋体"/>
          <w:b/>
          <w:color w:val="auto"/>
          <w:spacing w:val="-4"/>
          <w:kern w:val="28"/>
          <w:sz w:val="28"/>
          <w:szCs w:val="28"/>
          <w:lang w:eastAsia="zh-CN"/>
        </w:rPr>
        <w:t>三</w:t>
      </w:r>
      <w:r>
        <w:rPr>
          <w:rFonts w:hint="eastAsia" w:hAnsi="Calibri" w:cs="宋体"/>
          <w:b/>
          <w:color w:val="auto"/>
          <w:spacing w:val="-4"/>
          <w:kern w:val="28"/>
          <w:sz w:val="28"/>
          <w:szCs w:val="28"/>
        </w:rPr>
        <w:t>部分 南昌市自然资源和规划局东湖分局202</w:t>
      </w:r>
      <w:r>
        <w:rPr>
          <w:rFonts w:hint="eastAsia" w:hAnsi="Calibri" w:cs="宋体"/>
          <w:b/>
          <w:color w:val="auto"/>
          <w:spacing w:val="-4"/>
          <w:kern w:val="28"/>
          <w:sz w:val="28"/>
          <w:szCs w:val="28"/>
          <w:lang w:val="en-US" w:eastAsia="zh-CN"/>
        </w:rPr>
        <w:t>3</w:t>
      </w:r>
      <w:r>
        <w:rPr>
          <w:rFonts w:hint="eastAsia" w:hAnsi="Calibri" w:cs="宋体"/>
          <w:b/>
          <w:color w:val="auto"/>
          <w:spacing w:val="-4"/>
          <w:kern w:val="28"/>
          <w:sz w:val="28"/>
          <w:szCs w:val="28"/>
        </w:rPr>
        <w:t>年</w:t>
      </w:r>
      <w:r>
        <w:rPr>
          <w:rFonts w:hint="eastAsia" w:hAnsi="Calibri" w:cs="宋体"/>
          <w:b/>
          <w:color w:val="auto"/>
          <w:spacing w:val="-4"/>
          <w:kern w:val="28"/>
          <w:sz w:val="28"/>
          <w:szCs w:val="28"/>
          <w:lang w:eastAsia="zh-CN"/>
        </w:rPr>
        <w:t>单位</w:t>
      </w:r>
      <w:r>
        <w:rPr>
          <w:rFonts w:hint="eastAsia" w:hAnsi="Calibri" w:cs="宋体"/>
          <w:b/>
          <w:color w:val="auto"/>
          <w:spacing w:val="-4"/>
          <w:kern w:val="28"/>
          <w:sz w:val="28"/>
          <w:szCs w:val="28"/>
        </w:rPr>
        <w:t xml:space="preserve">预算情况说明 </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一、</w:t>
      </w:r>
      <w:r>
        <w:rPr>
          <w:rFonts w:hint="eastAsia" w:ascii="仿宋_GB2312" w:hAnsi="Times New Roman" w:eastAsia="仿宋_GB2312" w:cs="Times New Roman"/>
          <w:sz w:val="28"/>
          <w:szCs w:val="28"/>
          <w:lang w:val="en-US" w:eastAsia="zh-CN"/>
        </w:rPr>
        <w:t>2023年单位</w:t>
      </w:r>
      <w:r>
        <w:rPr>
          <w:rFonts w:hint="eastAsia" w:ascii="仿宋_GB2312" w:hAnsi="Times New Roman" w:eastAsia="仿宋_GB2312" w:cs="Times New Roman"/>
          <w:sz w:val="28"/>
          <w:szCs w:val="28"/>
        </w:rPr>
        <w:t>预算收支情况说明</w:t>
      </w:r>
      <w:r>
        <w:rPr>
          <w:rFonts w:hint="eastAsia" w:ascii="仿宋_GB2312" w:hAnsi="Times New Roman" w:eastAsia="仿宋_GB2312" w:cs="Times New Roman"/>
          <w:sz w:val="28"/>
          <w:szCs w:val="28"/>
          <w:lang w:val="en-US" w:eastAsia="zh-CN"/>
        </w:rPr>
        <w:t>·</w:t>
      </w:r>
    </w:p>
    <w:p>
      <w:pPr>
        <w:keepNext w:val="0"/>
        <w:keepLines w:val="0"/>
        <w:pageBreakBefore w:val="0"/>
        <w:widowControl/>
        <w:kinsoku/>
        <w:wordWrap/>
        <w:overflowPunct/>
        <w:topLinePunct w:val="0"/>
        <w:bidi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w:t>
      </w:r>
      <w:r>
        <w:rPr>
          <w:rFonts w:hint="eastAsia" w:ascii="仿宋_GB2312" w:hAnsi="Times New Roman" w:eastAsia="仿宋_GB2312" w:cs="Times New Roman"/>
          <w:sz w:val="28"/>
          <w:szCs w:val="28"/>
          <w:lang w:val="en-US" w:eastAsia="zh-CN"/>
        </w:rPr>
        <w:t>2023年</w:t>
      </w:r>
      <w:r>
        <w:rPr>
          <w:rFonts w:hint="eastAsia" w:ascii="仿宋_GB2312" w:hAnsi="Times New Roman" w:eastAsia="仿宋_GB2312" w:cs="Times New Roman"/>
          <w:sz w:val="28"/>
          <w:szCs w:val="28"/>
        </w:rPr>
        <w:t>“三公”经费预算情况说明</w:t>
      </w:r>
    </w:p>
    <w:p>
      <w:pPr>
        <w:keepNext w:val="0"/>
        <w:keepLines w:val="0"/>
        <w:pageBreakBefore w:val="0"/>
        <w:widowControl/>
        <w:kinsoku/>
        <w:wordWrap/>
        <w:overflowPunct/>
        <w:topLinePunct w:val="0"/>
        <w:bidi w:val="0"/>
        <w:spacing w:line="500" w:lineRule="exact"/>
        <w:ind w:firstLine="562" w:firstLineChars="200"/>
        <w:textAlignment w:val="auto"/>
        <w:rPr>
          <w:rFonts w:hint="eastAsia" w:ascii="仿宋_GB2312" w:hAnsi="Times New Roman" w:eastAsia="仿宋_GB2312" w:cs="Times New Roman"/>
          <w:b/>
          <w:sz w:val="28"/>
          <w:szCs w:val="28"/>
        </w:rPr>
      </w:pPr>
    </w:p>
    <w:p>
      <w:pPr>
        <w:keepNext w:val="0"/>
        <w:keepLines w:val="0"/>
        <w:pageBreakBefore w:val="0"/>
        <w:widowControl/>
        <w:kinsoku/>
        <w:wordWrap/>
        <w:overflowPunct/>
        <w:topLinePunct w:val="0"/>
        <w:bidi w:val="0"/>
        <w:spacing w:line="500" w:lineRule="exact"/>
        <w:ind w:firstLine="562" w:firstLineChars="200"/>
        <w:textAlignment w:val="auto"/>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第四部分名词解释</w:t>
      </w:r>
    </w:p>
    <w:p>
      <w:pPr>
        <w:pStyle w:val="2"/>
      </w:pPr>
    </w:p>
    <w:p>
      <w:pPr>
        <w:keepNext w:val="0"/>
        <w:keepLines w:val="0"/>
        <w:pageBreakBefore w:val="0"/>
        <w:numPr>
          <w:ilvl w:val="0"/>
          <w:numId w:val="1"/>
        </w:numPr>
        <w:kinsoku/>
        <w:wordWrap/>
        <w:overflowPunct/>
        <w:topLinePunct w:val="0"/>
        <w:bidi w:val="0"/>
        <w:spacing w:line="500" w:lineRule="exact"/>
        <w:ind w:firstLine="560" w:firstLineChars="200"/>
        <w:jc w:val="center"/>
        <w:textAlignment w:val="auto"/>
        <w:rPr>
          <w:rFonts w:ascii="方正小标宋简体" w:hAnsi="Times New Roman" w:eastAsia="方正小标宋简体" w:cs="Times New Roman"/>
          <w:sz w:val="28"/>
          <w:szCs w:val="28"/>
        </w:rPr>
      </w:pPr>
      <w:r>
        <w:rPr>
          <w:rFonts w:hint="eastAsia" w:ascii="方正小标宋简体" w:hAnsi="Times New Roman" w:eastAsia="方正小标宋简体" w:cs="Times New Roman"/>
          <w:sz w:val="28"/>
          <w:szCs w:val="28"/>
        </w:rPr>
        <w:t xml:space="preserve"> 南昌市自然资源和规划局东湖分局概况</w:t>
      </w:r>
    </w:p>
    <w:p>
      <w:pPr>
        <w:keepNext w:val="0"/>
        <w:keepLines w:val="0"/>
        <w:pageBreakBefore w:val="0"/>
        <w:kinsoku/>
        <w:wordWrap/>
        <w:overflowPunct/>
        <w:topLinePunct w:val="0"/>
        <w:bidi w:val="0"/>
        <w:spacing w:line="500" w:lineRule="exact"/>
        <w:ind w:firstLine="560" w:firstLineChars="200"/>
        <w:textAlignment w:val="auto"/>
        <w:rPr>
          <w:rFonts w:ascii="方正小标宋简体" w:hAnsi="Times New Roman" w:eastAsia="方正小标宋简体" w:cs="Times New Roman"/>
          <w:sz w:val="28"/>
          <w:szCs w:val="28"/>
        </w:rPr>
      </w:pPr>
    </w:p>
    <w:p>
      <w:pPr>
        <w:pStyle w:val="5"/>
        <w:keepNext w:val="0"/>
        <w:keepLines w:val="0"/>
        <w:pageBreakBefore w:val="0"/>
        <w:kinsoku/>
        <w:wordWrap/>
        <w:overflowPunct/>
        <w:topLinePunct w:val="0"/>
        <w:bidi w:val="0"/>
        <w:spacing w:line="500" w:lineRule="exact"/>
        <w:ind w:firstLine="560" w:firstLineChars="200"/>
        <w:textAlignment w:val="auto"/>
        <w:rPr>
          <w:rFonts w:ascii="黑体" w:hAnsi="Times New Roman" w:eastAsia="黑体" w:cs="Times New Roman"/>
          <w:color w:val="auto"/>
          <w:kern w:val="2"/>
          <w:sz w:val="28"/>
          <w:szCs w:val="28"/>
        </w:rPr>
      </w:pPr>
      <w:r>
        <w:rPr>
          <w:rFonts w:hint="eastAsia" w:ascii="黑体" w:hAnsi="Times New Roman" w:eastAsia="黑体" w:cs="Times New Roman"/>
          <w:color w:val="auto"/>
          <w:kern w:val="2"/>
          <w:sz w:val="28"/>
          <w:szCs w:val="28"/>
        </w:rPr>
        <w:t>一、</w:t>
      </w:r>
      <w:r>
        <w:rPr>
          <w:rFonts w:hint="eastAsia" w:ascii="黑体" w:hAnsi="Times New Roman" w:eastAsia="黑体" w:cs="Times New Roman"/>
          <w:color w:val="auto"/>
          <w:kern w:val="2"/>
          <w:sz w:val="28"/>
          <w:szCs w:val="28"/>
          <w:lang w:eastAsia="zh-CN"/>
        </w:rPr>
        <w:t>单位</w:t>
      </w:r>
      <w:r>
        <w:rPr>
          <w:rFonts w:hint="eastAsia" w:ascii="黑体" w:hAnsi="Times New Roman" w:eastAsia="黑体" w:cs="Times New Roman"/>
          <w:color w:val="auto"/>
          <w:kern w:val="2"/>
          <w:sz w:val="28"/>
          <w:szCs w:val="28"/>
        </w:rPr>
        <w:t>主要职责：</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南昌市自然资源和规划局东湖分局是区政府主管土地、矿产等自然资源的规划、管理、保护与合理利用的工作部门，主要职责是：</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1、协助市局做好东湖区自然资源和规划管理工作。承担保护与合理利用辖区内土地资源等自然资源的责任。贯彻执行国家、省市关于自然资源工作方针政策和法律法规以及市区相关规定；组织落实辖区内自然资源领域资源节约集约利用和循环经济的政策措施。</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2、协助市局做好辖区内自然资源和规划行政执法工作，通过巡查及时掌握本辖区内自然资源重大违法案件并上报市局。</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3、协助市局做好土地利用总体规划、土地利用年度计划和其他专项规划、计划。</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4、负责规范辖区内自然资源权属管理。依法保护土地资源、矿产资源等自然资源所有者和使用者的合法权益；组织承办和调处重大权属纠纷，指导土地确权工作。</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5、负责辖区内农用地转用和土地征收征用，承担报上级主管部门审批的各类用地的报批工作。</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 xml:space="preserve">6、承担及时准确提供辖区内土地利用各种数据的责任。参与组织土地资源调查、地籍调查、土地统计、动态监测和地籍信息系统建设。 </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7、负责协调市局和东湖区所有涉及自然资源管理的项目。</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8、依法征收辖区内资源收益，规范、监督资金使用。负责有关资金、基金的预算和财务、资产管理。</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9、负责辖区内涉及自然资源重大信访案件的调查处理。</w:t>
      </w:r>
    </w:p>
    <w:p>
      <w:pPr>
        <w:pStyle w:val="5"/>
        <w:keepNext w:val="0"/>
        <w:keepLines w:val="0"/>
        <w:pageBreakBefore w:val="0"/>
        <w:kinsoku/>
        <w:wordWrap/>
        <w:overflowPunct/>
        <w:topLinePunct w:val="0"/>
        <w:bidi w:val="0"/>
        <w:spacing w:line="500" w:lineRule="exact"/>
        <w:ind w:firstLine="560" w:firstLineChars="200"/>
        <w:textAlignment w:val="auto"/>
        <w:rPr>
          <w:rFonts w:hAnsi="宋体" w:cstheme="minorBidi"/>
          <w:color w:val="auto"/>
          <w:kern w:val="2"/>
          <w:sz w:val="30"/>
          <w:szCs w:val="30"/>
        </w:rPr>
      </w:pPr>
      <w:r>
        <w:rPr>
          <w:rFonts w:hint="eastAsia" w:hAnsi="Times New Roman" w:cs="Times New Roman"/>
          <w:color w:val="auto"/>
          <w:kern w:val="2"/>
          <w:sz w:val="28"/>
          <w:szCs w:val="28"/>
        </w:rPr>
        <w:t>10、承办市局、区政府交办的其他事项。</w:t>
      </w:r>
    </w:p>
    <w:p>
      <w:pPr>
        <w:keepNext w:val="0"/>
        <w:keepLines w:val="0"/>
        <w:pageBreakBefore w:val="0"/>
        <w:kinsoku/>
        <w:wordWrap/>
        <w:overflowPunct/>
        <w:topLinePunct w:val="0"/>
        <w:bidi w:val="0"/>
        <w:spacing w:line="500" w:lineRule="exact"/>
        <w:ind w:firstLine="560" w:firstLineChars="200"/>
        <w:textAlignment w:val="auto"/>
        <w:rPr>
          <w:rFonts w:ascii="黑体" w:hAnsi="Times New Roman" w:eastAsia="黑体" w:cs="Times New Roman"/>
          <w:sz w:val="28"/>
          <w:szCs w:val="28"/>
        </w:rPr>
      </w:pPr>
      <w:r>
        <w:rPr>
          <w:rFonts w:hint="eastAsia" w:ascii="黑体" w:hAnsi="Times New Roman" w:eastAsia="黑体" w:cs="Times New Roman"/>
          <w:sz w:val="28"/>
          <w:szCs w:val="28"/>
        </w:rPr>
        <w:t>二、</w:t>
      </w:r>
      <w:r>
        <w:rPr>
          <w:rFonts w:hint="eastAsia" w:ascii="黑体" w:hAnsi="Times New Roman" w:eastAsia="黑体" w:cs="Times New Roman"/>
          <w:sz w:val="28"/>
          <w:szCs w:val="28"/>
          <w:lang w:eastAsia="zh-CN"/>
        </w:rPr>
        <w:t>单位</w:t>
      </w:r>
      <w:r>
        <w:rPr>
          <w:rFonts w:hint="eastAsia" w:ascii="黑体" w:hAnsi="Times New Roman" w:eastAsia="黑体" w:cs="Times New Roman"/>
          <w:sz w:val="28"/>
          <w:szCs w:val="28"/>
        </w:rPr>
        <w:t>202</w:t>
      </w:r>
      <w:r>
        <w:rPr>
          <w:rFonts w:hint="eastAsia" w:ascii="黑体" w:hAnsi="Times New Roman" w:eastAsia="黑体" w:cs="Times New Roman"/>
          <w:sz w:val="28"/>
          <w:szCs w:val="28"/>
          <w:lang w:val="en-US" w:eastAsia="zh-CN"/>
        </w:rPr>
        <w:t>3</w:t>
      </w:r>
      <w:r>
        <w:rPr>
          <w:rFonts w:hint="eastAsia" w:ascii="黑体" w:hAnsi="Times New Roman" w:eastAsia="黑体" w:cs="Times New Roman"/>
          <w:sz w:val="28"/>
          <w:szCs w:val="28"/>
        </w:rPr>
        <w:t>年主要工作任务</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东湖区作为老城区，高效节约利用好每一寸土地资源，做好土地规划文章，对东湖区转型升级尤为重要。</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1.加强规划引领。积极争取市里早日出台扬子洲发展规划，加强与市自然资源局对接沟通，在用地上提前布局谋划，做好土地规划和我区产业发展衔接，确保今后招商引资工作引得进来、落得了地。</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2.盘活存量土地。老城区尚有四五百亩待开发的土地，在扬子洲短期不具备开发条件的情况下，要加大对这部分可用土地的利用，把土地转换成一个个项目，推动我区经济社会持续发展。积极做好土地供应工作，切实盘活存量用地，加快东湖区土地出让工作，提高供地率；积极做好新增建设用地报批工作；加快青山湖西岸经营性地块出让工作；加大土地收储力度，服务好辖区经济发展。</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3.加强资源保护。切实落实好耕地保护，积极完成好扬子洲高标准农田建设任务；严格国土资源执法监督机制，落实好执法监督；参与动态巡查移动信息平台，着力推进自然资源保护。</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4.加强内部学习。严格落实事业单位改革，明确科室人员责任分工，进一步加强学习型机关建设，通过“六步走”加强理论与业务知识学习，打造一支政治素质和业务素质双高的队伍。</w:t>
      </w:r>
    </w:p>
    <w:p>
      <w:pPr>
        <w:keepNext w:val="0"/>
        <w:keepLines w:val="0"/>
        <w:pageBreakBefore w:val="0"/>
        <w:kinsoku/>
        <w:wordWrap/>
        <w:overflowPunct/>
        <w:topLinePunct w:val="0"/>
        <w:bidi w:val="0"/>
        <w:adjustRightInd w:val="0"/>
        <w:snapToGrid w:val="0"/>
        <w:spacing w:line="500" w:lineRule="exact"/>
        <w:ind w:firstLine="560" w:firstLineChars="200"/>
        <w:jc w:val="left"/>
        <w:textAlignment w:val="auto"/>
        <w:rPr>
          <w:rFonts w:ascii="仿宋_GB2312" w:hAnsi="Times New Roman" w:eastAsia="仿宋_GB2312" w:cs="Times New Roman"/>
          <w:sz w:val="28"/>
          <w:szCs w:val="28"/>
        </w:rPr>
      </w:pPr>
    </w:p>
    <w:p>
      <w:pPr>
        <w:keepNext w:val="0"/>
        <w:keepLines w:val="0"/>
        <w:pageBreakBefore w:val="0"/>
        <w:kinsoku/>
        <w:wordWrap/>
        <w:overflowPunct/>
        <w:topLinePunct w:val="0"/>
        <w:bidi w:val="0"/>
        <w:spacing w:line="500" w:lineRule="exact"/>
        <w:ind w:firstLine="560" w:firstLineChars="200"/>
        <w:textAlignment w:val="auto"/>
        <w:rPr>
          <w:rFonts w:hint="eastAsia" w:ascii="黑体" w:hAnsi="Times New Roman" w:eastAsia="黑体" w:cs="Times New Roman"/>
          <w:sz w:val="28"/>
          <w:szCs w:val="28"/>
          <w:lang w:eastAsia="zh-CN"/>
        </w:rPr>
      </w:pPr>
      <w:r>
        <w:rPr>
          <w:rFonts w:hint="eastAsia" w:ascii="黑体" w:hAnsi="Times New Roman" w:eastAsia="黑体" w:cs="Times New Roman"/>
          <w:sz w:val="28"/>
          <w:szCs w:val="28"/>
        </w:rPr>
        <w:t>三、</w:t>
      </w:r>
      <w:r>
        <w:rPr>
          <w:rFonts w:hint="eastAsia" w:ascii="黑体" w:hAnsi="Times New Roman" w:eastAsia="黑体" w:cs="Times New Roman"/>
          <w:sz w:val="28"/>
          <w:szCs w:val="28"/>
          <w:lang w:eastAsia="zh-CN"/>
        </w:rPr>
        <w:t>机构设置及人员情况</w:t>
      </w:r>
    </w:p>
    <w:p>
      <w:pPr>
        <w:keepNext w:val="0"/>
        <w:keepLines w:val="0"/>
        <w:pageBreakBefore w:val="0"/>
        <w:kinsoku/>
        <w:wordWrap/>
        <w:overflowPunct/>
        <w:topLinePunct w:val="0"/>
        <w:bidi w:val="0"/>
        <w:adjustRightInd w:val="0"/>
        <w:snapToGrid w:val="0"/>
        <w:spacing w:line="500" w:lineRule="exact"/>
        <w:ind w:firstLine="560" w:firstLineChars="200"/>
        <w:jc w:val="left"/>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2023年南昌</w:t>
      </w:r>
      <w:r>
        <w:rPr>
          <w:rFonts w:hint="eastAsia" w:ascii="仿宋_GB2312" w:eastAsia="仿宋_GB2312"/>
          <w:sz w:val="28"/>
          <w:szCs w:val="28"/>
          <w:highlight w:val="none"/>
        </w:rPr>
        <w:t>市</w:t>
      </w:r>
      <w:r>
        <w:rPr>
          <w:rFonts w:hint="eastAsia" w:ascii="仿宋_GB2312" w:eastAsia="仿宋_GB2312"/>
          <w:sz w:val="28"/>
          <w:szCs w:val="28"/>
          <w:highlight w:val="none"/>
          <w:lang w:eastAsia="zh-CN"/>
        </w:rPr>
        <w:t>自然资源和规划局东湖分局内设科室</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个，包括</w:t>
      </w:r>
      <w:r>
        <w:rPr>
          <w:rFonts w:hint="eastAsia" w:ascii="仿宋_GB2312" w:eastAsia="仿宋_GB2312"/>
          <w:sz w:val="28"/>
          <w:szCs w:val="28"/>
          <w:highlight w:val="none"/>
          <w:lang w:val="en-US" w:eastAsia="zh-CN"/>
        </w:rPr>
        <w:t>办公室、用地股、耕保股、租赁股、地籍股、规划股。</w:t>
      </w:r>
    </w:p>
    <w:p>
      <w:pPr>
        <w:keepNext w:val="0"/>
        <w:keepLines w:val="0"/>
        <w:pageBreakBefore w:val="0"/>
        <w:kinsoku/>
        <w:wordWrap/>
        <w:overflowPunct/>
        <w:topLinePunct w:val="0"/>
        <w:bidi w:val="0"/>
        <w:adjustRightInd w:val="0"/>
        <w:snapToGrid w:val="0"/>
        <w:spacing w:line="500" w:lineRule="exact"/>
        <w:ind w:firstLine="560" w:firstLine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编制人数20人，行政编制6人；实有人数7人，在职人数7人；事业编制14人；实有人数12人，在职人数12人。</w:t>
      </w:r>
    </w:p>
    <w:p>
      <w:pPr>
        <w:pStyle w:val="2"/>
        <w:keepNext w:val="0"/>
        <w:keepLines w:val="0"/>
        <w:pageBreakBefore w:val="0"/>
        <w:kinsoku/>
        <w:wordWrap/>
        <w:overflowPunct/>
        <w:topLinePunct w:val="0"/>
        <w:bidi w:val="0"/>
        <w:spacing w:line="500" w:lineRule="exact"/>
        <w:ind w:firstLine="560" w:firstLineChars="200"/>
        <w:textAlignment w:val="auto"/>
        <w:rPr>
          <w:rFonts w:hint="eastAsia" w:ascii="仿宋_GB2312" w:hAnsi="Times New Roman" w:eastAsia="仿宋_GB2312" w:cs="Times New Roman"/>
          <w:sz w:val="28"/>
          <w:szCs w:val="28"/>
        </w:rPr>
      </w:pPr>
    </w:p>
    <w:p>
      <w:pPr>
        <w:keepNext w:val="0"/>
        <w:keepLines w:val="0"/>
        <w:pageBreakBefore w:val="0"/>
        <w:kinsoku/>
        <w:wordWrap/>
        <w:overflowPunct/>
        <w:topLinePunct w:val="0"/>
        <w:bidi w:val="0"/>
        <w:spacing w:line="500" w:lineRule="exact"/>
        <w:ind w:firstLine="560" w:firstLineChars="200"/>
        <w:jc w:val="center"/>
        <w:textAlignment w:val="auto"/>
        <w:rPr>
          <w:rFonts w:ascii="方正小标宋简体" w:hAnsi="Times New Roman" w:eastAsia="方正小标宋简体" w:cs="Times New Roman"/>
          <w:sz w:val="28"/>
          <w:szCs w:val="28"/>
        </w:rPr>
      </w:pPr>
      <w:r>
        <w:rPr>
          <w:rFonts w:hint="eastAsia" w:ascii="方正小标宋简体" w:hAnsi="Times New Roman" w:eastAsia="方正小标宋简体" w:cs="Times New Roman"/>
          <w:sz w:val="28"/>
          <w:szCs w:val="28"/>
        </w:rPr>
        <w:t>第</w:t>
      </w:r>
      <w:r>
        <w:rPr>
          <w:rFonts w:hint="eastAsia" w:ascii="方正小标宋简体" w:hAnsi="Times New Roman" w:eastAsia="方正小标宋简体" w:cs="Times New Roman"/>
          <w:sz w:val="28"/>
          <w:szCs w:val="28"/>
          <w:lang w:eastAsia="zh-CN"/>
        </w:rPr>
        <w:t>二</w:t>
      </w:r>
      <w:r>
        <w:rPr>
          <w:rFonts w:hint="eastAsia" w:ascii="方正小标宋简体" w:hAnsi="Times New Roman" w:eastAsia="方正小标宋简体" w:cs="Times New Roman"/>
          <w:sz w:val="28"/>
          <w:szCs w:val="28"/>
        </w:rPr>
        <w:t>部分南昌市自然资源和规划分局202</w:t>
      </w:r>
      <w:r>
        <w:rPr>
          <w:rFonts w:hint="eastAsia" w:ascii="方正小标宋简体" w:hAnsi="Times New Roman" w:eastAsia="方正小标宋简体" w:cs="Times New Roman"/>
          <w:sz w:val="28"/>
          <w:szCs w:val="28"/>
          <w:lang w:val="en-US" w:eastAsia="zh-CN"/>
        </w:rPr>
        <w:t>3</w:t>
      </w:r>
      <w:r>
        <w:rPr>
          <w:rFonts w:hint="eastAsia" w:ascii="方正小标宋简体" w:hAnsi="Times New Roman" w:eastAsia="方正小标宋简体" w:cs="Times New Roman"/>
          <w:sz w:val="28"/>
          <w:szCs w:val="28"/>
        </w:rPr>
        <w:t>年</w:t>
      </w:r>
      <w:r>
        <w:rPr>
          <w:rFonts w:hint="eastAsia" w:ascii="方正小标宋简体" w:hAnsi="Times New Roman" w:eastAsia="方正小标宋简体" w:cs="Times New Roman"/>
          <w:sz w:val="28"/>
          <w:szCs w:val="28"/>
          <w:lang w:eastAsia="zh-CN"/>
        </w:rPr>
        <w:t>单位</w:t>
      </w:r>
      <w:r>
        <w:rPr>
          <w:rFonts w:hint="eastAsia" w:ascii="方正小标宋简体" w:hAnsi="Times New Roman" w:eastAsia="方正小标宋简体" w:cs="Times New Roman"/>
          <w:sz w:val="28"/>
          <w:szCs w:val="28"/>
        </w:rPr>
        <w:t>预算</w:t>
      </w:r>
      <w:r>
        <w:rPr>
          <w:rFonts w:hint="eastAsia" w:ascii="方正小标宋简体" w:hAnsi="Times New Roman" w:eastAsia="方正小标宋简体" w:cs="Times New Roman"/>
          <w:sz w:val="28"/>
          <w:szCs w:val="28"/>
          <w:lang w:eastAsia="zh-CN"/>
        </w:rPr>
        <w:t>情况</w:t>
      </w:r>
      <w:r>
        <w:rPr>
          <w:rFonts w:hint="eastAsia" w:ascii="方正小标宋简体" w:hAnsi="Times New Roman" w:eastAsia="方正小标宋简体" w:cs="Times New Roman"/>
          <w:sz w:val="28"/>
          <w:szCs w:val="28"/>
        </w:rPr>
        <w:t>表</w:t>
      </w:r>
    </w:p>
    <w:p>
      <w:pPr>
        <w:keepNext w:val="0"/>
        <w:keepLines w:val="0"/>
        <w:pageBreakBefore w:val="0"/>
        <w:kinsoku/>
        <w:wordWrap/>
        <w:overflowPunct/>
        <w:topLinePunct w:val="0"/>
        <w:bidi w:val="0"/>
        <w:spacing w:line="500" w:lineRule="exact"/>
        <w:ind w:firstLine="560" w:firstLineChars="200"/>
        <w:jc w:val="center"/>
        <w:textAlignment w:val="auto"/>
        <w:rPr>
          <w:rFonts w:ascii="方正小标宋简体" w:hAnsi="Times New Roman" w:eastAsia="方正小标宋简体" w:cs="Times New Roman"/>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w:t>
      </w:r>
      <w:r>
        <w:rPr>
          <w:rFonts w:hint="eastAsia" w:ascii="仿宋_GB2312" w:eastAsia="仿宋_GB2312"/>
          <w:sz w:val="28"/>
          <w:szCs w:val="28"/>
          <w:lang w:eastAsia="zh-CN"/>
        </w:rPr>
        <w:t>财政拨款</w:t>
      </w:r>
      <w:r>
        <w:rPr>
          <w:rFonts w:hint="eastAsia" w:ascii="仿宋_GB2312" w:hAnsi="仿宋_GB2312" w:eastAsia="仿宋_GB2312" w:cs="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十</w:t>
      </w:r>
      <w:r>
        <w:rPr>
          <w:rFonts w:hint="eastAsia" w:ascii="仿宋_GB2312" w:hAnsi="仿宋_GB2312" w:eastAsia="仿宋_GB2312" w:cs="仿宋_GB2312"/>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lang w:eastAsia="zh-CN"/>
        </w:rPr>
        <w:t>注：①</w:t>
      </w:r>
      <w:r>
        <w:rPr>
          <w:rFonts w:hint="eastAsia" w:ascii="仿宋_GB2312" w:hAnsi="Times New Roman" w:eastAsia="仿宋_GB2312" w:cs="Times New Roman"/>
          <w:color w:val="auto"/>
          <w:sz w:val="28"/>
          <w:szCs w:val="28"/>
          <w:highlight w:val="none"/>
          <w:lang w:val="en-US" w:eastAsia="zh-CN" w:bidi="ar-SA"/>
        </w:rPr>
        <w:t>由于本说明中数据四舍五入原因，部分汇总数据与分项加总之和可能存在尾差；②表格</w:t>
      </w:r>
      <w:r>
        <w:rPr>
          <w:rFonts w:hint="eastAsia" w:ascii="仿宋_GB2312" w:eastAsia="仿宋_GB2312"/>
          <w:sz w:val="28"/>
          <w:szCs w:val="28"/>
          <w:highlight w:val="none"/>
        </w:rPr>
        <w:t>详见附件，若其中某张表为空表或表中数据为0，则说明没有相关收支预算安排。）</w:t>
      </w:r>
    </w:p>
    <w:p>
      <w:pPr>
        <w:pStyle w:val="2"/>
        <w:keepNext w:val="0"/>
        <w:keepLines w:val="0"/>
        <w:pageBreakBefore w:val="0"/>
        <w:kinsoku/>
        <w:wordWrap/>
        <w:overflowPunct/>
        <w:topLinePunct w:val="0"/>
        <w:bidi w:val="0"/>
        <w:spacing w:line="500" w:lineRule="exact"/>
        <w:ind w:firstLine="420" w:firstLineChars="200"/>
        <w:textAlignment w:val="auto"/>
      </w:pPr>
    </w:p>
    <w:p>
      <w:pPr>
        <w:pStyle w:val="5"/>
        <w:keepNext w:val="0"/>
        <w:keepLines w:val="0"/>
        <w:pageBreakBefore w:val="0"/>
        <w:kinsoku/>
        <w:wordWrap/>
        <w:overflowPunct/>
        <w:topLinePunct w:val="0"/>
        <w:bidi w:val="0"/>
        <w:spacing w:line="500" w:lineRule="exact"/>
        <w:ind w:firstLine="560" w:firstLineChars="200"/>
        <w:textAlignment w:val="auto"/>
        <w:rPr>
          <w:rFonts w:hint="eastAsia" w:hAnsi="Calibri" w:cs="宋体"/>
          <w:b/>
          <w:color w:val="auto"/>
          <w:spacing w:val="-4"/>
          <w:kern w:val="28"/>
          <w:sz w:val="28"/>
          <w:szCs w:val="28"/>
        </w:rPr>
      </w:pPr>
      <w:r>
        <w:rPr>
          <w:rFonts w:hint="eastAsia" w:ascii="方正小标宋简体" w:hAnsi="Times New Roman" w:eastAsia="方正小标宋简体" w:cs="Times New Roman"/>
          <w:sz w:val="28"/>
          <w:szCs w:val="28"/>
        </w:rPr>
        <w:t>第</w:t>
      </w:r>
      <w:r>
        <w:rPr>
          <w:rFonts w:hint="eastAsia" w:ascii="方正小标宋简体" w:hAnsi="Times New Roman" w:eastAsia="方正小标宋简体" w:cs="Times New Roman"/>
          <w:sz w:val="28"/>
          <w:szCs w:val="28"/>
          <w:lang w:eastAsia="zh-CN"/>
        </w:rPr>
        <w:t>三</w:t>
      </w:r>
      <w:r>
        <w:rPr>
          <w:rFonts w:hint="eastAsia" w:ascii="方正小标宋简体" w:hAnsi="Times New Roman" w:eastAsia="方正小标宋简体" w:cs="Times New Roman"/>
          <w:sz w:val="28"/>
          <w:szCs w:val="28"/>
        </w:rPr>
        <w:t>部分</w:t>
      </w:r>
      <w:r>
        <w:rPr>
          <w:rFonts w:hint="eastAsia" w:hAnsi="Calibri" w:cs="宋体"/>
          <w:b/>
          <w:color w:val="auto"/>
          <w:spacing w:val="-4"/>
          <w:kern w:val="28"/>
          <w:sz w:val="28"/>
          <w:szCs w:val="28"/>
        </w:rPr>
        <w:t>南昌市自然资源和规划局东湖分局202</w:t>
      </w:r>
      <w:r>
        <w:rPr>
          <w:rFonts w:hint="eastAsia" w:hAnsi="Calibri" w:cs="宋体"/>
          <w:b/>
          <w:color w:val="auto"/>
          <w:spacing w:val="-4"/>
          <w:kern w:val="28"/>
          <w:sz w:val="28"/>
          <w:szCs w:val="28"/>
          <w:lang w:val="en-US" w:eastAsia="zh-CN"/>
        </w:rPr>
        <w:t>3</w:t>
      </w:r>
      <w:r>
        <w:rPr>
          <w:rFonts w:hint="eastAsia" w:hAnsi="Calibri" w:cs="宋体"/>
          <w:b/>
          <w:color w:val="auto"/>
          <w:spacing w:val="-4"/>
          <w:kern w:val="28"/>
          <w:sz w:val="28"/>
          <w:szCs w:val="28"/>
        </w:rPr>
        <w:t>年</w:t>
      </w:r>
      <w:r>
        <w:rPr>
          <w:rFonts w:hint="eastAsia" w:hAnsi="Calibri" w:cs="宋体"/>
          <w:b/>
          <w:color w:val="auto"/>
          <w:spacing w:val="-4"/>
          <w:kern w:val="28"/>
          <w:sz w:val="28"/>
          <w:szCs w:val="28"/>
          <w:lang w:eastAsia="zh-CN"/>
        </w:rPr>
        <w:t>单位</w:t>
      </w:r>
      <w:r>
        <w:rPr>
          <w:rFonts w:hint="eastAsia" w:hAnsi="Calibri" w:cs="宋体"/>
          <w:b/>
          <w:color w:val="auto"/>
          <w:spacing w:val="-4"/>
          <w:kern w:val="28"/>
          <w:sz w:val="28"/>
          <w:szCs w:val="28"/>
        </w:rPr>
        <w:t xml:space="preserve">预算情况说明 </w:t>
      </w:r>
    </w:p>
    <w:p>
      <w:pPr>
        <w:pStyle w:val="5"/>
        <w:keepNext w:val="0"/>
        <w:keepLines w:val="0"/>
        <w:pageBreakBefore w:val="0"/>
        <w:kinsoku/>
        <w:wordWrap/>
        <w:overflowPunct/>
        <w:topLinePunct w:val="0"/>
        <w:bidi w:val="0"/>
        <w:spacing w:line="500" w:lineRule="exact"/>
        <w:ind w:firstLine="546" w:firstLineChars="200"/>
        <w:textAlignment w:val="auto"/>
        <w:rPr>
          <w:rFonts w:hint="eastAsia" w:hAnsi="Calibri" w:cs="宋体"/>
          <w:b/>
          <w:color w:val="auto"/>
          <w:spacing w:val="-4"/>
          <w:kern w:val="28"/>
          <w:sz w:val="28"/>
          <w:szCs w:val="28"/>
        </w:rPr>
      </w:pPr>
    </w:p>
    <w:p>
      <w:pPr>
        <w:keepNext w:val="0"/>
        <w:keepLines w:val="0"/>
        <w:pageBreakBefore w:val="0"/>
        <w:numPr>
          <w:ilvl w:val="0"/>
          <w:numId w:val="2"/>
        </w:numPr>
        <w:kinsoku/>
        <w:wordWrap/>
        <w:overflowPunct/>
        <w:topLinePunct w:val="0"/>
        <w:bidi w:val="0"/>
        <w:spacing w:line="500" w:lineRule="exact"/>
        <w:ind w:firstLine="560" w:firstLineChars="200"/>
        <w:textAlignment w:val="auto"/>
        <w:rPr>
          <w:rFonts w:ascii="黑体" w:hAnsi="Times New Roman" w:eastAsia="黑体" w:cs="Times New Roman"/>
          <w:sz w:val="28"/>
          <w:szCs w:val="28"/>
        </w:rPr>
      </w:pPr>
      <w:r>
        <w:rPr>
          <w:rFonts w:hint="eastAsia" w:ascii="黑体" w:hAnsi="Times New Roman" w:eastAsia="黑体" w:cs="Times New Roman"/>
          <w:sz w:val="28"/>
          <w:szCs w:val="28"/>
          <w:lang w:val="en-US" w:eastAsia="zh-CN"/>
        </w:rPr>
        <w:t>2023年单位</w:t>
      </w:r>
      <w:r>
        <w:rPr>
          <w:rFonts w:hint="eastAsia" w:ascii="黑体" w:hAnsi="Times New Roman" w:eastAsia="黑体" w:cs="Times New Roman"/>
          <w:sz w:val="28"/>
          <w:szCs w:val="28"/>
        </w:rPr>
        <w:t>预算收支情况说明</w:t>
      </w:r>
    </w:p>
    <w:p>
      <w:pPr>
        <w:keepNext w:val="0"/>
        <w:keepLines w:val="0"/>
        <w:pageBreakBefore w:val="0"/>
        <w:kinsoku/>
        <w:wordWrap/>
        <w:overflowPunct/>
        <w:topLinePunct w:val="0"/>
        <w:bidi w:val="0"/>
        <w:spacing w:line="500" w:lineRule="exact"/>
        <w:ind w:firstLine="600" w:firstLineChars="200"/>
        <w:textAlignment w:val="auto"/>
        <w:rPr>
          <w:rFonts w:ascii="楷体_GB2312" w:hAnsi="楷体_GB2312" w:eastAsia="楷体_GB2312" w:cs="楷体_GB2312"/>
          <w:b/>
          <w:sz w:val="28"/>
          <w:szCs w:val="28"/>
          <w:highlight w:val="none"/>
        </w:rPr>
      </w:pPr>
      <w:r>
        <w:rPr>
          <w:rFonts w:hint="eastAsia" w:ascii="楷体_GB2312" w:hAnsi="宋体" w:eastAsia="楷体_GB2312"/>
          <w:sz w:val="30"/>
          <w:szCs w:val="30"/>
          <w:highlight w:val="none"/>
        </w:rPr>
        <w:t>（</w:t>
      </w:r>
      <w:r>
        <w:rPr>
          <w:rFonts w:hint="eastAsia" w:ascii="楷体_GB2312" w:hAnsi="楷体_GB2312" w:eastAsia="楷体_GB2312" w:cs="楷体_GB2312"/>
          <w:b/>
          <w:sz w:val="28"/>
          <w:szCs w:val="28"/>
          <w:highlight w:val="none"/>
        </w:rPr>
        <w:t>一）预算收入情况</w:t>
      </w:r>
    </w:p>
    <w:p>
      <w:pPr>
        <w:pStyle w:val="5"/>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default" w:hAnsi="Times New Roman" w:cs="Times New Roman"/>
          <w:color w:val="auto"/>
          <w:kern w:val="2"/>
          <w:sz w:val="28"/>
          <w:szCs w:val="28"/>
          <w:lang w:val="en-US" w:eastAsia="zh-CN"/>
        </w:rPr>
      </w:pPr>
      <w:r>
        <w:rPr>
          <w:rFonts w:hint="eastAsia" w:hAnsi="Times New Roman" w:cs="Times New Roman"/>
          <w:color w:val="auto"/>
          <w:kern w:val="2"/>
          <w:sz w:val="28"/>
          <w:szCs w:val="28"/>
        </w:rPr>
        <w:t>202</w:t>
      </w:r>
      <w:r>
        <w:rPr>
          <w:rFonts w:hint="eastAsia" w:hAnsi="Times New Roman" w:cs="Times New Roman"/>
          <w:color w:val="auto"/>
          <w:kern w:val="2"/>
          <w:sz w:val="28"/>
          <w:szCs w:val="28"/>
          <w:lang w:val="en-US" w:eastAsia="zh-CN"/>
        </w:rPr>
        <w:t>3</w:t>
      </w:r>
      <w:r>
        <w:rPr>
          <w:rFonts w:hint="eastAsia" w:hAnsi="Times New Roman" w:cs="Times New Roman"/>
          <w:color w:val="auto"/>
          <w:kern w:val="2"/>
          <w:sz w:val="28"/>
          <w:szCs w:val="28"/>
        </w:rPr>
        <w:t>年南昌市自然资源和规划湖分局收入预算总额为</w:t>
      </w:r>
      <w:r>
        <w:rPr>
          <w:rFonts w:hint="eastAsia" w:hAnsi="Times New Roman" w:cs="Times New Roman"/>
          <w:color w:val="auto"/>
          <w:kern w:val="2"/>
          <w:sz w:val="28"/>
          <w:szCs w:val="28"/>
          <w:lang w:val="en-US" w:eastAsia="zh-CN"/>
        </w:rPr>
        <w:t>894.96</w:t>
      </w:r>
      <w:r>
        <w:rPr>
          <w:rFonts w:hint="eastAsia" w:hAnsi="Times New Roman" w:cs="Times New Roman"/>
          <w:color w:val="auto"/>
          <w:kern w:val="2"/>
          <w:sz w:val="28"/>
          <w:szCs w:val="28"/>
        </w:rPr>
        <w:t>万元，比上年</w:t>
      </w:r>
      <w:r>
        <w:rPr>
          <w:rFonts w:hint="eastAsia" w:hAnsi="Times New Roman" w:cs="Times New Roman"/>
          <w:color w:val="auto"/>
          <w:kern w:val="2"/>
          <w:sz w:val="28"/>
          <w:szCs w:val="28"/>
          <w:lang w:eastAsia="zh-CN"/>
        </w:rPr>
        <w:t>增加</w:t>
      </w:r>
      <w:r>
        <w:rPr>
          <w:rFonts w:hint="eastAsia" w:hAnsi="Times New Roman" w:cs="Times New Roman"/>
          <w:color w:val="auto"/>
          <w:kern w:val="2"/>
          <w:sz w:val="28"/>
          <w:szCs w:val="28"/>
          <w:lang w:val="en-US" w:eastAsia="zh-CN"/>
        </w:rPr>
        <w:t>462.56</w:t>
      </w:r>
      <w:r>
        <w:rPr>
          <w:rFonts w:hint="eastAsia" w:hAnsi="Times New Roman" w:cs="Times New Roman"/>
          <w:color w:val="auto"/>
          <w:kern w:val="2"/>
          <w:sz w:val="28"/>
          <w:szCs w:val="28"/>
        </w:rPr>
        <w:t>万元，</w:t>
      </w:r>
      <w:r>
        <w:rPr>
          <w:rFonts w:hint="eastAsia" w:hAnsi="Times New Roman" w:cs="Times New Roman"/>
          <w:color w:val="auto"/>
          <w:kern w:val="2"/>
          <w:sz w:val="28"/>
          <w:szCs w:val="28"/>
          <w:lang w:eastAsia="zh-CN"/>
        </w:rPr>
        <w:t>增长</w:t>
      </w:r>
      <w:r>
        <w:rPr>
          <w:rFonts w:hint="eastAsia" w:hAnsi="Times New Roman" w:cs="Times New Roman"/>
          <w:color w:val="auto"/>
          <w:kern w:val="2"/>
          <w:sz w:val="28"/>
          <w:szCs w:val="28"/>
          <w:lang w:val="en-US" w:eastAsia="zh-CN"/>
        </w:rPr>
        <w:t>51.7</w:t>
      </w:r>
      <w:r>
        <w:rPr>
          <w:rFonts w:hint="eastAsia" w:hAnsi="Times New Roman" w:cs="Times New Roman"/>
          <w:color w:val="auto"/>
          <w:kern w:val="2"/>
          <w:sz w:val="28"/>
          <w:szCs w:val="28"/>
        </w:rPr>
        <w:t>%</w:t>
      </w:r>
      <w:r>
        <w:rPr>
          <w:rFonts w:hint="eastAsia" w:hAnsi="Times New Roman" w:cs="Times New Roman"/>
          <w:color w:val="auto"/>
          <w:kern w:val="2"/>
          <w:sz w:val="28"/>
          <w:szCs w:val="28"/>
          <w:lang w:eastAsia="zh-CN"/>
        </w:rPr>
        <w:t>，主要是增加了其他收入</w:t>
      </w:r>
      <w:r>
        <w:rPr>
          <w:rFonts w:hint="eastAsia" w:hAnsi="Times New Roman" w:cs="Times New Roman"/>
          <w:color w:val="auto"/>
          <w:kern w:val="2"/>
          <w:sz w:val="28"/>
          <w:szCs w:val="28"/>
        </w:rPr>
        <w:t>。其中：财政拨款收入</w:t>
      </w:r>
      <w:r>
        <w:rPr>
          <w:rFonts w:hint="eastAsia" w:hAnsi="Times New Roman" w:cs="Times New Roman"/>
          <w:color w:val="auto"/>
          <w:kern w:val="2"/>
          <w:sz w:val="28"/>
          <w:szCs w:val="28"/>
          <w:lang w:val="en-US" w:eastAsia="zh-CN"/>
        </w:rPr>
        <w:t>494.96</w:t>
      </w:r>
      <w:r>
        <w:rPr>
          <w:rFonts w:hint="eastAsia" w:hAnsi="Times New Roman" w:cs="Times New Roman"/>
          <w:color w:val="auto"/>
          <w:kern w:val="2"/>
          <w:sz w:val="28"/>
          <w:szCs w:val="28"/>
        </w:rPr>
        <w:t>万元</w:t>
      </w:r>
      <w:r>
        <w:rPr>
          <w:rFonts w:hint="eastAsia" w:hAnsi="Times New Roman" w:cs="Times New Roman"/>
          <w:color w:val="auto"/>
          <w:kern w:val="2"/>
          <w:sz w:val="28"/>
          <w:szCs w:val="28"/>
          <w:lang w:eastAsia="zh-CN"/>
        </w:rPr>
        <w:t>，较</w:t>
      </w:r>
      <w:r>
        <w:rPr>
          <w:rFonts w:hint="eastAsia" w:hAnsi="Times New Roman" w:cs="Times New Roman"/>
          <w:color w:val="auto"/>
          <w:kern w:val="2"/>
          <w:sz w:val="28"/>
          <w:szCs w:val="28"/>
        </w:rPr>
        <w:t>上年</w:t>
      </w:r>
      <w:r>
        <w:rPr>
          <w:rFonts w:hint="eastAsia" w:hAnsi="Times New Roman" w:cs="Times New Roman"/>
          <w:color w:val="auto"/>
          <w:kern w:val="2"/>
          <w:sz w:val="28"/>
          <w:szCs w:val="28"/>
          <w:lang w:eastAsia="zh-CN"/>
        </w:rPr>
        <w:t>预算安排</w:t>
      </w:r>
      <w:r>
        <w:rPr>
          <w:rFonts w:hint="eastAsia" w:hAnsi="Times New Roman" w:cs="Times New Roman"/>
          <w:color w:val="auto"/>
          <w:kern w:val="2"/>
          <w:sz w:val="28"/>
          <w:szCs w:val="28"/>
        </w:rPr>
        <w:t>增加</w:t>
      </w:r>
      <w:r>
        <w:rPr>
          <w:rFonts w:hint="eastAsia" w:hAnsi="Times New Roman" w:cs="Times New Roman"/>
          <w:color w:val="auto"/>
          <w:kern w:val="2"/>
          <w:sz w:val="28"/>
          <w:szCs w:val="28"/>
          <w:lang w:val="en-US" w:eastAsia="zh-CN"/>
        </w:rPr>
        <w:t>62.56</w:t>
      </w:r>
      <w:r>
        <w:rPr>
          <w:rFonts w:hint="eastAsia" w:hAnsi="Times New Roman" w:cs="Times New Roman"/>
          <w:color w:val="auto"/>
          <w:kern w:val="2"/>
          <w:sz w:val="28"/>
          <w:szCs w:val="28"/>
        </w:rPr>
        <w:t>万元；事业单位经营收入0万元</w:t>
      </w:r>
      <w:r>
        <w:rPr>
          <w:rFonts w:hint="eastAsia" w:hAnsi="Times New Roman" w:cs="Times New Roman"/>
          <w:color w:val="auto"/>
          <w:kern w:val="2"/>
          <w:sz w:val="28"/>
          <w:szCs w:val="28"/>
          <w:lang w:eastAsia="zh-CN"/>
        </w:rPr>
        <w:t>，较</w:t>
      </w:r>
      <w:r>
        <w:rPr>
          <w:rFonts w:hint="eastAsia" w:hAnsi="Times New Roman" w:cs="Times New Roman"/>
          <w:color w:val="auto"/>
          <w:kern w:val="2"/>
          <w:sz w:val="28"/>
          <w:szCs w:val="28"/>
        </w:rPr>
        <w:t>上年</w:t>
      </w:r>
      <w:r>
        <w:rPr>
          <w:rFonts w:hint="eastAsia" w:hAnsi="Times New Roman" w:cs="Times New Roman"/>
          <w:color w:val="auto"/>
          <w:kern w:val="2"/>
          <w:sz w:val="28"/>
          <w:szCs w:val="28"/>
          <w:lang w:eastAsia="zh-CN"/>
        </w:rPr>
        <w:t>预算安排</w:t>
      </w:r>
      <w:r>
        <w:rPr>
          <w:rFonts w:hint="eastAsia" w:hAnsi="Times New Roman" w:cs="Times New Roman"/>
          <w:color w:val="auto"/>
          <w:kern w:val="2"/>
          <w:sz w:val="28"/>
          <w:szCs w:val="28"/>
        </w:rPr>
        <w:t>增加（减少）</w:t>
      </w:r>
      <w:r>
        <w:rPr>
          <w:rFonts w:hint="eastAsia" w:hAnsi="Times New Roman" w:cs="Times New Roman"/>
          <w:color w:val="auto"/>
          <w:kern w:val="2"/>
          <w:sz w:val="28"/>
          <w:szCs w:val="28"/>
          <w:lang w:val="en-US" w:eastAsia="zh-CN"/>
        </w:rPr>
        <w:t>0</w:t>
      </w:r>
      <w:r>
        <w:rPr>
          <w:rFonts w:hint="eastAsia" w:hAnsi="Times New Roman" w:cs="Times New Roman"/>
          <w:color w:val="auto"/>
          <w:kern w:val="2"/>
          <w:sz w:val="28"/>
          <w:szCs w:val="28"/>
        </w:rPr>
        <w:t>万元；其他收入</w:t>
      </w:r>
      <w:r>
        <w:rPr>
          <w:rFonts w:hint="eastAsia" w:hAnsi="Times New Roman" w:cs="Times New Roman"/>
          <w:color w:val="auto"/>
          <w:kern w:val="2"/>
          <w:sz w:val="28"/>
          <w:szCs w:val="28"/>
          <w:lang w:val="en-US" w:eastAsia="zh-CN"/>
        </w:rPr>
        <w:t>400</w:t>
      </w:r>
      <w:r>
        <w:rPr>
          <w:rFonts w:hint="eastAsia" w:hAnsi="Times New Roman" w:cs="Times New Roman"/>
          <w:color w:val="auto"/>
          <w:kern w:val="2"/>
          <w:sz w:val="28"/>
          <w:szCs w:val="28"/>
        </w:rPr>
        <w:t>万元</w:t>
      </w:r>
      <w:r>
        <w:rPr>
          <w:rFonts w:hint="eastAsia" w:hAnsi="Times New Roman" w:cs="Times New Roman"/>
          <w:color w:val="auto"/>
          <w:kern w:val="2"/>
          <w:sz w:val="28"/>
          <w:szCs w:val="28"/>
          <w:lang w:eastAsia="zh-CN"/>
        </w:rPr>
        <w:t>，较</w:t>
      </w:r>
      <w:r>
        <w:rPr>
          <w:rFonts w:hint="eastAsia" w:hAnsi="Times New Roman" w:cs="Times New Roman"/>
          <w:color w:val="auto"/>
          <w:kern w:val="2"/>
          <w:sz w:val="28"/>
          <w:szCs w:val="28"/>
        </w:rPr>
        <w:t>上年</w:t>
      </w:r>
      <w:r>
        <w:rPr>
          <w:rFonts w:hint="eastAsia" w:hAnsi="Times New Roman" w:cs="Times New Roman"/>
          <w:color w:val="auto"/>
          <w:kern w:val="2"/>
          <w:sz w:val="28"/>
          <w:szCs w:val="28"/>
          <w:lang w:eastAsia="zh-CN"/>
        </w:rPr>
        <w:t>预算安排</w:t>
      </w:r>
      <w:r>
        <w:rPr>
          <w:rFonts w:hint="eastAsia" w:hAnsi="Times New Roman" w:cs="Times New Roman"/>
          <w:color w:val="auto"/>
          <w:kern w:val="2"/>
          <w:sz w:val="28"/>
          <w:szCs w:val="28"/>
        </w:rPr>
        <w:t>增加</w:t>
      </w:r>
      <w:r>
        <w:rPr>
          <w:rFonts w:hint="eastAsia" w:hAnsi="Times New Roman" w:cs="Times New Roman"/>
          <w:color w:val="auto"/>
          <w:kern w:val="2"/>
          <w:sz w:val="28"/>
          <w:szCs w:val="28"/>
          <w:lang w:val="en-US" w:eastAsia="zh-CN"/>
        </w:rPr>
        <w:t>400</w:t>
      </w:r>
      <w:r>
        <w:rPr>
          <w:rFonts w:hint="eastAsia" w:hAnsi="Times New Roman" w:cs="Times New Roman"/>
          <w:color w:val="auto"/>
          <w:kern w:val="2"/>
          <w:sz w:val="28"/>
          <w:szCs w:val="28"/>
        </w:rPr>
        <w:t>万元；下级上缴收入0万元</w:t>
      </w:r>
      <w:r>
        <w:rPr>
          <w:rFonts w:hint="eastAsia" w:hAnsi="Times New Roman" w:cs="Times New Roman"/>
          <w:color w:val="auto"/>
          <w:kern w:val="2"/>
          <w:sz w:val="28"/>
          <w:szCs w:val="28"/>
          <w:lang w:eastAsia="zh-CN"/>
        </w:rPr>
        <w:t>，较</w:t>
      </w:r>
      <w:r>
        <w:rPr>
          <w:rFonts w:hint="eastAsia" w:hAnsi="Times New Roman" w:cs="Times New Roman"/>
          <w:color w:val="auto"/>
          <w:kern w:val="2"/>
          <w:sz w:val="28"/>
          <w:szCs w:val="28"/>
        </w:rPr>
        <w:t>上年</w:t>
      </w:r>
      <w:r>
        <w:rPr>
          <w:rFonts w:hint="eastAsia" w:hAnsi="Times New Roman" w:cs="Times New Roman"/>
          <w:color w:val="auto"/>
          <w:kern w:val="2"/>
          <w:sz w:val="28"/>
          <w:szCs w:val="28"/>
          <w:lang w:eastAsia="zh-CN"/>
        </w:rPr>
        <w:t>预算安排</w:t>
      </w:r>
      <w:r>
        <w:rPr>
          <w:rFonts w:hint="eastAsia" w:hAnsi="Times New Roman" w:cs="Times New Roman"/>
          <w:color w:val="auto"/>
          <w:kern w:val="2"/>
          <w:sz w:val="28"/>
          <w:szCs w:val="28"/>
        </w:rPr>
        <w:t>增加（减少）</w:t>
      </w:r>
      <w:r>
        <w:rPr>
          <w:rFonts w:hint="eastAsia" w:hAnsi="Times New Roman" w:cs="Times New Roman"/>
          <w:color w:val="auto"/>
          <w:kern w:val="2"/>
          <w:sz w:val="28"/>
          <w:szCs w:val="28"/>
          <w:lang w:val="en-US" w:eastAsia="zh-CN"/>
        </w:rPr>
        <w:t>0</w:t>
      </w:r>
      <w:r>
        <w:rPr>
          <w:rFonts w:hint="eastAsia" w:hAnsi="Times New Roman" w:cs="Times New Roman"/>
          <w:color w:val="auto"/>
          <w:kern w:val="2"/>
          <w:sz w:val="28"/>
          <w:szCs w:val="28"/>
        </w:rPr>
        <w:t>万元；上级补助收入0万元</w:t>
      </w:r>
      <w:r>
        <w:rPr>
          <w:rFonts w:hint="eastAsia" w:hAnsi="Times New Roman" w:cs="Times New Roman"/>
          <w:color w:val="auto"/>
          <w:kern w:val="2"/>
          <w:sz w:val="28"/>
          <w:szCs w:val="28"/>
          <w:lang w:eastAsia="zh-CN"/>
        </w:rPr>
        <w:t>，较</w:t>
      </w:r>
      <w:r>
        <w:rPr>
          <w:rFonts w:hint="eastAsia" w:hAnsi="Times New Roman" w:cs="Times New Roman"/>
          <w:color w:val="auto"/>
          <w:kern w:val="2"/>
          <w:sz w:val="28"/>
          <w:szCs w:val="28"/>
        </w:rPr>
        <w:t>上年</w:t>
      </w:r>
      <w:r>
        <w:rPr>
          <w:rFonts w:hint="eastAsia" w:hAnsi="Times New Roman" w:cs="Times New Roman"/>
          <w:color w:val="auto"/>
          <w:kern w:val="2"/>
          <w:sz w:val="28"/>
          <w:szCs w:val="28"/>
          <w:lang w:eastAsia="zh-CN"/>
        </w:rPr>
        <w:t>预算安排</w:t>
      </w:r>
      <w:r>
        <w:rPr>
          <w:rFonts w:hint="eastAsia" w:hAnsi="Times New Roman" w:cs="Times New Roman"/>
          <w:color w:val="auto"/>
          <w:kern w:val="2"/>
          <w:sz w:val="28"/>
          <w:szCs w:val="28"/>
        </w:rPr>
        <w:t>增加（减少）</w:t>
      </w:r>
      <w:r>
        <w:rPr>
          <w:rFonts w:hint="eastAsia" w:hAnsi="Times New Roman" w:cs="Times New Roman"/>
          <w:color w:val="auto"/>
          <w:kern w:val="2"/>
          <w:sz w:val="28"/>
          <w:szCs w:val="28"/>
          <w:lang w:val="en-US" w:eastAsia="zh-CN"/>
        </w:rPr>
        <w:t>0</w:t>
      </w:r>
      <w:r>
        <w:rPr>
          <w:rFonts w:hint="eastAsia" w:hAnsi="Times New Roman" w:cs="Times New Roman"/>
          <w:color w:val="auto"/>
          <w:kern w:val="2"/>
          <w:sz w:val="28"/>
          <w:szCs w:val="28"/>
        </w:rPr>
        <w:t>万元。</w:t>
      </w:r>
    </w:p>
    <w:p>
      <w:pPr>
        <w:pStyle w:val="5"/>
        <w:keepNext w:val="0"/>
        <w:keepLines w:val="0"/>
        <w:pageBreakBefore w:val="0"/>
        <w:kinsoku/>
        <w:wordWrap/>
        <w:overflowPunct/>
        <w:topLinePunct w:val="0"/>
        <w:bidi w:val="0"/>
        <w:spacing w:line="500" w:lineRule="exact"/>
        <w:ind w:firstLine="562" w:firstLineChars="200"/>
        <w:textAlignment w:val="auto"/>
        <w:rPr>
          <w:rFonts w:hint="eastAsia" w:hAnsi="Times New Roman" w:cs="Times New Roman"/>
          <w:b/>
          <w:bCs/>
          <w:color w:val="auto"/>
          <w:kern w:val="2"/>
          <w:sz w:val="28"/>
          <w:szCs w:val="28"/>
        </w:rPr>
      </w:pPr>
      <w:r>
        <w:rPr>
          <w:rFonts w:hint="eastAsia" w:hAnsi="Times New Roman" w:cs="Times New Roman"/>
          <w:b/>
          <w:bCs/>
          <w:color w:val="auto"/>
          <w:kern w:val="2"/>
          <w:sz w:val="28"/>
          <w:szCs w:val="28"/>
        </w:rPr>
        <w:t>（二）支出预算情况</w:t>
      </w:r>
    </w:p>
    <w:p>
      <w:pPr>
        <w:keepNext w:val="0"/>
        <w:keepLines w:val="0"/>
        <w:pageBreakBefore w:val="0"/>
        <w:kinsoku/>
        <w:wordWrap/>
        <w:overflowPunct/>
        <w:topLinePunct w:val="0"/>
        <w:bidi w:val="0"/>
        <w:spacing w:line="500" w:lineRule="exact"/>
        <w:ind w:firstLine="600" w:firstLineChars="200"/>
        <w:textAlignment w:val="auto"/>
        <w:rPr>
          <w:rFonts w:hint="default" w:ascii="仿宋_GB2312" w:eastAsia="仿宋_GB2312"/>
          <w:sz w:val="28"/>
          <w:szCs w:val="28"/>
          <w:lang w:val="en-US" w:eastAsia="zh-CN"/>
        </w:rPr>
      </w:pPr>
      <w:r>
        <w:rPr>
          <w:rFonts w:hint="eastAsia" w:ascii="仿宋_GB2312" w:hAnsi="宋体" w:eastAsia="仿宋_GB2312"/>
          <w:sz w:val="30"/>
          <w:szCs w:val="30"/>
        </w:rPr>
        <w:t>2</w:t>
      </w:r>
      <w:r>
        <w:rPr>
          <w:rFonts w:hint="eastAsia" w:ascii="仿宋_GB2312" w:hAnsi="Times New Roman" w:eastAsia="仿宋_GB2312" w:cs="Times New Roman"/>
          <w:sz w:val="28"/>
          <w:szCs w:val="28"/>
        </w:rPr>
        <w:t>02</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rPr>
        <w:t>年南昌市自然资源和规划分局支出预算总额为</w:t>
      </w:r>
      <w:r>
        <w:rPr>
          <w:rFonts w:hint="eastAsia" w:ascii="仿宋_GB2312" w:hAnsi="Times New Roman" w:eastAsia="仿宋_GB2312" w:cs="Times New Roman"/>
          <w:sz w:val="28"/>
          <w:szCs w:val="28"/>
          <w:lang w:val="en-US" w:eastAsia="zh-CN"/>
        </w:rPr>
        <w:t>494.96</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w:t>
      </w:r>
      <w:r>
        <w:rPr>
          <w:rFonts w:hint="eastAsia" w:ascii="仿宋_GB2312" w:eastAsia="仿宋_GB2312"/>
          <w:sz w:val="28"/>
          <w:szCs w:val="28"/>
        </w:rPr>
        <w:t>比上年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62.56</w:t>
      </w:r>
      <w:r>
        <w:rPr>
          <w:rFonts w:hint="eastAsia" w:ascii="仿宋_GB2312" w:eastAsia="仿宋_GB2312"/>
          <w:sz w:val="28"/>
          <w:szCs w:val="28"/>
        </w:rPr>
        <w:t>元，</w:t>
      </w:r>
      <w:r>
        <w:rPr>
          <w:rFonts w:hint="eastAsia" w:ascii="仿宋_GB2312" w:eastAsia="仿宋_GB2312"/>
          <w:sz w:val="28"/>
          <w:szCs w:val="28"/>
          <w:lang w:eastAsia="zh-CN"/>
        </w:rPr>
        <w:t>增长</w:t>
      </w:r>
      <w:r>
        <w:rPr>
          <w:rFonts w:hint="eastAsia" w:ascii="仿宋_GB2312" w:eastAsia="仿宋_GB2312"/>
          <w:sz w:val="28"/>
          <w:szCs w:val="28"/>
          <w:lang w:val="en-US" w:eastAsia="zh-CN"/>
        </w:rPr>
        <w:t>12.6</w:t>
      </w:r>
      <w:r>
        <w:rPr>
          <w:rFonts w:hint="eastAsia" w:ascii="仿宋_GB2312" w:eastAsia="仿宋_GB2312"/>
          <w:sz w:val="28"/>
          <w:szCs w:val="28"/>
        </w:rPr>
        <w:t>%</w:t>
      </w:r>
      <w:r>
        <w:rPr>
          <w:rFonts w:hint="eastAsia" w:ascii="仿宋_GB2312" w:eastAsia="仿宋_GB2312"/>
          <w:sz w:val="28"/>
          <w:szCs w:val="28"/>
          <w:lang w:eastAsia="zh-CN"/>
        </w:rPr>
        <w:t>，主要是增加了人员基本开支。</w:t>
      </w:r>
    </w:p>
    <w:p>
      <w:pPr>
        <w:keepNext w:val="0"/>
        <w:keepLines w:val="0"/>
        <w:pageBreakBefore w:val="0"/>
        <w:kinsoku/>
        <w:wordWrap/>
        <w:overflowPunct/>
        <w:topLinePunct w:val="0"/>
        <w:bidi w:val="0"/>
        <w:spacing w:line="500" w:lineRule="exact"/>
        <w:ind w:firstLine="560" w:firstLineChars="200"/>
        <w:textAlignment w:val="auto"/>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其中：按支出项目类别划分：基本支出</w:t>
      </w:r>
      <w:r>
        <w:rPr>
          <w:rFonts w:hint="eastAsia" w:ascii="仿宋_GB2312" w:hAnsi="Times New Roman" w:eastAsia="仿宋_GB2312" w:cs="Times New Roman"/>
          <w:sz w:val="28"/>
          <w:szCs w:val="28"/>
          <w:highlight w:val="none"/>
          <w:lang w:val="en-US" w:eastAsia="zh-CN"/>
        </w:rPr>
        <w:t>494.96</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62.56</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；包括工资福利支出</w:t>
      </w:r>
      <w:r>
        <w:rPr>
          <w:rFonts w:hint="eastAsia" w:ascii="仿宋_GB2312" w:hAnsi="Times New Roman" w:eastAsia="仿宋_GB2312" w:cs="Times New Roman"/>
          <w:sz w:val="28"/>
          <w:szCs w:val="28"/>
          <w:highlight w:val="none"/>
          <w:lang w:val="en-US" w:eastAsia="zh-CN"/>
        </w:rPr>
        <w:t>458.30</w:t>
      </w:r>
      <w:r>
        <w:rPr>
          <w:rFonts w:hint="eastAsia" w:ascii="仿宋_GB2312" w:hAnsi="Times New Roman" w:eastAsia="仿宋_GB2312" w:cs="Times New Roman"/>
          <w:sz w:val="28"/>
          <w:szCs w:val="28"/>
          <w:highlight w:val="none"/>
        </w:rPr>
        <w:t>万元、商品和服务支出</w:t>
      </w:r>
      <w:r>
        <w:rPr>
          <w:rFonts w:hint="eastAsia" w:ascii="仿宋_GB2312" w:hAnsi="Times New Roman" w:eastAsia="仿宋_GB2312" w:cs="Times New Roman"/>
          <w:sz w:val="28"/>
          <w:szCs w:val="28"/>
          <w:highlight w:val="none"/>
          <w:lang w:val="en-US" w:eastAsia="zh-CN"/>
        </w:rPr>
        <w:t>35.57</w:t>
      </w:r>
      <w:r>
        <w:rPr>
          <w:rFonts w:hint="eastAsia" w:ascii="仿宋_GB2312" w:hAnsi="Times New Roman" w:eastAsia="仿宋_GB2312" w:cs="Times New Roman"/>
          <w:sz w:val="28"/>
          <w:szCs w:val="28"/>
          <w:highlight w:val="none"/>
        </w:rPr>
        <w:t>万元、对个人和家庭的补助</w:t>
      </w:r>
      <w:r>
        <w:rPr>
          <w:rFonts w:hint="eastAsia" w:ascii="仿宋_GB2312" w:hAnsi="Times New Roman" w:eastAsia="仿宋_GB2312" w:cs="Times New Roman"/>
          <w:sz w:val="28"/>
          <w:szCs w:val="28"/>
          <w:highlight w:val="none"/>
          <w:lang w:val="en-US" w:eastAsia="zh-CN"/>
        </w:rPr>
        <w:t>1.09</w:t>
      </w:r>
      <w:r>
        <w:rPr>
          <w:rFonts w:hint="eastAsia" w:ascii="仿宋_GB2312" w:hAnsi="Times New Roman" w:eastAsia="仿宋_GB2312" w:cs="Times New Roman"/>
          <w:sz w:val="28"/>
          <w:szCs w:val="28"/>
          <w:highlight w:val="none"/>
        </w:rPr>
        <w:t>万元。</w:t>
      </w:r>
    </w:p>
    <w:p>
      <w:pPr>
        <w:keepNext w:val="0"/>
        <w:keepLines w:val="0"/>
        <w:pageBreakBefore w:val="0"/>
        <w:kinsoku/>
        <w:wordWrap/>
        <w:overflowPunct/>
        <w:topLinePunct w:val="0"/>
        <w:bidi w:val="0"/>
        <w:spacing w:line="500" w:lineRule="exact"/>
        <w:ind w:firstLine="560" w:firstLineChars="200"/>
        <w:textAlignment w:val="auto"/>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按支出功能科目划分：社会保障和就业支出</w:t>
      </w:r>
      <w:r>
        <w:rPr>
          <w:rFonts w:hint="eastAsia" w:ascii="仿宋_GB2312" w:hAnsi="Times New Roman" w:eastAsia="仿宋_GB2312" w:cs="Times New Roman"/>
          <w:sz w:val="28"/>
          <w:szCs w:val="28"/>
          <w:highlight w:val="none"/>
          <w:lang w:val="en-US" w:eastAsia="zh-CN"/>
        </w:rPr>
        <w:t>38.31</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15.61</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；自然资源海洋气象支出</w:t>
      </w:r>
      <w:r>
        <w:rPr>
          <w:rFonts w:hint="eastAsia" w:ascii="仿宋_GB2312" w:hAnsi="Times New Roman" w:eastAsia="仿宋_GB2312" w:cs="Times New Roman"/>
          <w:sz w:val="28"/>
          <w:szCs w:val="28"/>
          <w:highlight w:val="none"/>
          <w:lang w:val="en-US" w:eastAsia="zh-CN"/>
        </w:rPr>
        <w:t>416.92</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44.57</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；住房保障支出</w:t>
      </w:r>
      <w:r>
        <w:rPr>
          <w:rFonts w:hint="eastAsia" w:ascii="仿宋_GB2312" w:hAnsi="Times New Roman" w:eastAsia="仿宋_GB2312" w:cs="Times New Roman"/>
          <w:sz w:val="28"/>
          <w:szCs w:val="28"/>
          <w:highlight w:val="none"/>
          <w:lang w:val="en-US" w:eastAsia="zh-CN"/>
        </w:rPr>
        <w:t>39.74</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2.38</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w:t>
      </w:r>
    </w:p>
    <w:p>
      <w:pPr>
        <w:keepNext w:val="0"/>
        <w:keepLines w:val="0"/>
        <w:pageBreakBefore w:val="0"/>
        <w:kinsoku/>
        <w:wordWrap/>
        <w:overflowPunct/>
        <w:topLinePunct w:val="0"/>
        <w:bidi w:val="0"/>
        <w:spacing w:line="500" w:lineRule="exact"/>
        <w:ind w:firstLine="560" w:firstLineChars="200"/>
        <w:textAlignment w:val="auto"/>
        <w:rPr>
          <w:rFonts w:ascii="仿宋_GB2312" w:hAnsi="宋体" w:eastAsia="仿宋_GB2312"/>
          <w:sz w:val="30"/>
          <w:szCs w:val="30"/>
          <w:highlight w:val="none"/>
        </w:rPr>
      </w:pPr>
      <w:r>
        <w:rPr>
          <w:rFonts w:hint="eastAsia" w:ascii="仿宋_GB2312" w:hAnsi="Times New Roman" w:eastAsia="仿宋_GB2312" w:cs="Times New Roman"/>
          <w:sz w:val="28"/>
          <w:szCs w:val="28"/>
          <w:highlight w:val="none"/>
        </w:rPr>
        <w:t>按支出经济分类划分：工资福利支出</w:t>
      </w:r>
      <w:r>
        <w:rPr>
          <w:rFonts w:hint="eastAsia" w:ascii="仿宋_GB2312" w:hAnsi="Times New Roman" w:eastAsia="仿宋_GB2312" w:cs="Times New Roman"/>
          <w:sz w:val="28"/>
          <w:szCs w:val="28"/>
          <w:highlight w:val="none"/>
          <w:lang w:val="en-US" w:eastAsia="zh-CN"/>
        </w:rPr>
        <w:t>458.30</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63.23</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；商品和服务支出</w:t>
      </w:r>
      <w:r>
        <w:rPr>
          <w:rFonts w:hint="eastAsia" w:ascii="仿宋_GB2312" w:hAnsi="Times New Roman" w:eastAsia="仿宋_GB2312" w:cs="Times New Roman"/>
          <w:sz w:val="28"/>
          <w:szCs w:val="28"/>
          <w:highlight w:val="none"/>
          <w:lang w:val="en-US" w:eastAsia="zh-CN"/>
        </w:rPr>
        <w:t>35.57</w:t>
      </w:r>
      <w:r>
        <w:rPr>
          <w:rFonts w:hint="eastAsia" w:ascii="仿宋_GB2312" w:hAnsi="Times New Roman" w:eastAsia="仿宋_GB2312" w:cs="Times New Roman"/>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0.02</w:t>
      </w:r>
      <w:r>
        <w:rPr>
          <w:rFonts w:hint="eastAsia" w:ascii="仿宋_GB2312" w:eastAsia="仿宋_GB2312"/>
          <w:sz w:val="28"/>
          <w:szCs w:val="28"/>
          <w:highlight w:val="none"/>
        </w:rPr>
        <w:t>万元</w:t>
      </w:r>
      <w:r>
        <w:rPr>
          <w:rFonts w:hint="eastAsia" w:ascii="仿宋_GB2312" w:hAnsi="Times New Roman" w:eastAsia="仿宋_GB2312" w:cs="Times New Roman"/>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（三）财政拨款支出情况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2023</w:t>
      </w:r>
      <w:r>
        <w:rPr>
          <w:rFonts w:hint="default" w:ascii="仿宋_GB2312" w:eastAsia="仿宋_GB2312"/>
          <w:sz w:val="28"/>
          <w:szCs w:val="28"/>
          <w:lang w:val="en-US" w:eastAsia="zh-CN"/>
        </w:rPr>
        <w:t xml:space="preserve"> 年</w:t>
      </w:r>
      <w:r>
        <w:rPr>
          <w:rFonts w:hint="eastAsia" w:ascii="仿宋_GB2312" w:eastAsia="仿宋_GB2312"/>
          <w:sz w:val="28"/>
          <w:szCs w:val="28"/>
          <w:lang w:val="en-US" w:eastAsia="zh-CN"/>
        </w:rPr>
        <w:t>南昌</w:t>
      </w:r>
      <w:r>
        <w:rPr>
          <w:rFonts w:hint="default" w:ascii="仿宋_GB2312" w:eastAsia="仿宋_GB2312"/>
          <w:sz w:val="28"/>
          <w:szCs w:val="28"/>
          <w:lang w:val="en-US" w:eastAsia="zh-CN"/>
        </w:rPr>
        <w:t>市自然资源</w:t>
      </w:r>
      <w:r>
        <w:rPr>
          <w:rFonts w:hint="eastAsia" w:ascii="仿宋_GB2312" w:eastAsia="仿宋_GB2312"/>
          <w:sz w:val="28"/>
          <w:szCs w:val="28"/>
          <w:lang w:val="en-US" w:eastAsia="zh-CN"/>
        </w:rPr>
        <w:t>和规划</w:t>
      </w:r>
      <w:r>
        <w:rPr>
          <w:rFonts w:hint="default" w:ascii="仿宋_GB2312" w:eastAsia="仿宋_GB2312"/>
          <w:sz w:val="28"/>
          <w:szCs w:val="28"/>
          <w:lang w:val="en-US" w:eastAsia="zh-CN"/>
        </w:rPr>
        <w:t>局</w:t>
      </w:r>
      <w:r>
        <w:rPr>
          <w:rFonts w:hint="eastAsia" w:ascii="仿宋_GB2312" w:eastAsia="仿宋_GB2312"/>
          <w:sz w:val="28"/>
          <w:szCs w:val="28"/>
          <w:lang w:val="en-US" w:eastAsia="zh-CN"/>
        </w:rPr>
        <w:t>东湖分局</w:t>
      </w:r>
      <w:r>
        <w:rPr>
          <w:rFonts w:hint="default" w:ascii="仿宋_GB2312" w:eastAsia="仿宋_GB2312"/>
          <w:sz w:val="28"/>
          <w:szCs w:val="28"/>
          <w:lang w:val="en-US" w:eastAsia="zh-CN"/>
        </w:rPr>
        <w:t>财政拨款支出预算</w:t>
      </w:r>
      <w:r>
        <w:rPr>
          <w:rFonts w:hint="eastAsia" w:ascii="仿宋_GB2312" w:eastAsia="仿宋_GB2312"/>
          <w:sz w:val="28"/>
          <w:szCs w:val="28"/>
          <w:lang w:val="en-US" w:eastAsia="zh-CN"/>
        </w:rPr>
        <w:t>494.96</w:t>
      </w:r>
      <w:r>
        <w:rPr>
          <w:rFonts w:hint="default" w:ascii="仿宋_GB2312" w:eastAsia="仿宋_GB2312"/>
          <w:sz w:val="28"/>
          <w:szCs w:val="28"/>
          <w:lang w:val="en-US" w:eastAsia="zh-CN"/>
        </w:rPr>
        <w:t>万元，</w:t>
      </w:r>
      <w:r>
        <w:rPr>
          <w:rFonts w:hint="eastAsia" w:ascii="仿宋_GB2312" w:eastAsia="仿宋_GB2312"/>
          <w:sz w:val="28"/>
          <w:szCs w:val="28"/>
          <w:lang w:val="en-US" w:eastAsia="zh-CN"/>
        </w:rPr>
        <w:t>因增加了人员基本开支</w:t>
      </w:r>
      <w:r>
        <w:rPr>
          <w:rFonts w:hint="default" w:ascii="仿宋_GB2312" w:eastAsia="仿宋_GB2312"/>
          <w:sz w:val="28"/>
          <w:szCs w:val="28"/>
          <w:lang w:val="en-US" w:eastAsia="zh-CN"/>
        </w:rPr>
        <w:t>，较上</w:t>
      </w:r>
      <w:r>
        <w:rPr>
          <w:rFonts w:hint="eastAsia" w:ascii="仿宋_GB2312" w:eastAsia="仿宋_GB2312"/>
          <w:sz w:val="28"/>
          <w:szCs w:val="28"/>
          <w:lang w:val="en-US" w:eastAsia="zh-CN"/>
        </w:rPr>
        <w:t>年增加62.56</w:t>
      </w:r>
      <w:r>
        <w:rPr>
          <w:rFonts w:hint="default" w:ascii="仿宋_GB2312" w:eastAsia="仿宋_GB2312"/>
          <w:sz w:val="28"/>
          <w:szCs w:val="28"/>
          <w:lang w:val="en-US" w:eastAsia="zh-CN"/>
        </w:rPr>
        <w:t>万元，增长</w:t>
      </w:r>
      <w:r>
        <w:rPr>
          <w:rFonts w:hint="eastAsia" w:ascii="仿宋_GB2312" w:eastAsia="仿宋_GB2312"/>
          <w:sz w:val="28"/>
          <w:szCs w:val="28"/>
          <w:lang w:val="en-US" w:eastAsia="zh-CN"/>
        </w:rPr>
        <w:t>12.6</w:t>
      </w:r>
      <w:r>
        <w:rPr>
          <w:rFonts w:hint="default" w:ascii="仿宋_GB2312" w:eastAsia="仿宋_GB2312"/>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仿宋_GB2312" w:eastAsia="仿宋_GB2312"/>
          <w:sz w:val="28"/>
          <w:szCs w:val="28"/>
          <w:lang w:val="en-US" w:eastAsia="zh-CN"/>
        </w:rPr>
      </w:pPr>
      <w:r>
        <w:rPr>
          <w:rFonts w:hint="default" w:ascii="仿宋_GB2312" w:eastAsia="仿宋_GB2312"/>
          <w:sz w:val="28"/>
          <w:szCs w:val="28"/>
          <w:lang w:val="en-US" w:eastAsia="zh-CN"/>
        </w:rPr>
        <w:t>按支出功能科目划分：社会保障</w:t>
      </w:r>
      <w:r>
        <w:rPr>
          <w:rFonts w:hint="eastAsia" w:ascii="仿宋_GB2312" w:eastAsia="仿宋_GB2312"/>
          <w:sz w:val="28"/>
          <w:szCs w:val="28"/>
          <w:lang w:val="en-US" w:eastAsia="zh-CN"/>
        </w:rPr>
        <w:t>和</w:t>
      </w:r>
      <w:r>
        <w:rPr>
          <w:rFonts w:hint="default" w:ascii="仿宋_GB2312" w:eastAsia="仿宋_GB2312"/>
          <w:sz w:val="28"/>
          <w:szCs w:val="28"/>
          <w:lang w:val="en-US" w:eastAsia="zh-CN"/>
        </w:rPr>
        <w:t>就业支出</w:t>
      </w:r>
      <w:r>
        <w:rPr>
          <w:rFonts w:hint="eastAsia" w:ascii="仿宋_GB2312" w:eastAsia="仿宋_GB2312"/>
          <w:sz w:val="28"/>
          <w:szCs w:val="28"/>
          <w:lang w:val="en-US" w:eastAsia="zh-CN"/>
        </w:rPr>
        <w:t>38.31</w:t>
      </w:r>
      <w:r>
        <w:rPr>
          <w:rFonts w:hint="default" w:ascii="仿宋_GB2312" w:eastAsia="仿宋_GB2312"/>
          <w:sz w:val="28"/>
          <w:szCs w:val="28"/>
          <w:lang w:val="en-US" w:eastAsia="zh-CN"/>
        </w:rPr>
        <w:t>万元</w:t>
      </w:r>
      <w:r>
        <w:rPr>
          <w:rFonts w:hint="eastAsia" w:ascii="仿宋_GB2312" w:eastAsia="仿宋_GB2312"/>
          <w:sz w:val="28"/>
          <w:szCs w:val="28"/>
          <w:lang w:val="en-US" w:eastAsia="zh-CN"/>
        </w:rPr>
        <w:t>，较上年预算安排增加15.61万元</w:t>
      </w:r>
      <w:r>
        <w:rPr>
          <w:rFonts w:hint="default" w:ascii="仿宋_GB2312" w:eastAsia="仿宋_GB2312"/>
          <w:sz w:val="28"/>
          <w:szCs w:val="28"/>
          <w:lang w:val="en-US" w:eastAsia="zh-CN"/>
        </w:rPr>
        <w:t>；自然资源海洋气象等支出</w:t>
      </w:r>
      <w:r>
        <w:rPr>
          <w:rFonts w:hint="eastAsia" w:ascii="仿宋_GB2312" w:eastAsia="仿宋_GB2312"/>
          <w:sz w:val="28"/>
          <w:szCs w:val="28"/>
          <w:lang w:val="en-US" w:eastAsia="zh-CN"/>
        </w:rPr>
        <w:t>416.92</w:t>
      </w:r>
      <w:r>
        <w:rPr>
          <w:rFonts w:hint="default" w:ascii="仿宋_GB2312" w:eastAsia="仿宋_GB2312"/>
          <w:sz w:val="28"/>
          <w:szCs w:val="28"/>
          <w:lang w:val="en-US" w:eastAsia="zh-CN"/>
        </w:rPr>
        <w:t>万元</w:t>
      </w:r>
      <w:r>
        <w:rPr>
          <w:rFonts w:hint="eastAsia" w:ascii="仿宋_GB2312" w:eastAsia="仿宋_GB2312"/>
          <w:sz w:val="28"/>
          <w:szCs w:val="28"/>
          <w:lang w:val="en-US" w:eastAsia="zh-CN"/>
        </w:rPr>
        <w:t>，较上年预算安排增加44.57万元</w:t>
      </w:r>
      <w:r>
        <w:rPr>
          <w:rFonts w:hint="default" w:ascii="仿宋_GB2312" w:eastAsia="仿宋_GB2312"/>
          <w:sz w:val="28"/>
          <w:szCs w:val="28"/>
          <w:lang w:val="en-US" w:eastAsia="zh-CN"/>
        </w:rPr>
        <w:t>；住房保障支出</w:t>
      </w:r>
      <w:r>
        <w:rPr>
          <w:rFonts w:hint="eastAsia" w:ascii="仿宋_GB2312" w:eastAsia="仿宋_GB2312"/>
          <w:sz w:val="28"/>
          <w:szCs w:val="28"/>
          <w:lang w:val="en-US" w:eastAsia="zh-CN"/>
        </w:rPr>
        <w:t>39.74</w:t>
      </w:r>
      <w:r>
        <w:rPr>
          <w:rFonts w:hint="default" w:ascii="仿宋_GB2312" w:eastAsia="仿宋_GB2312"/>
          <w:sz w:val="28"/>
          <w:szCs w:val="28"/>
          <w:lang w:val="en-US" w:eastAsia="zh-CN"/>
        </w:rPr>
        <w:t>万元</w:t>
      </w:r>
      <w:r>
        <w:rPr>
          <w:rFonts w:hint="eastAsia" w:ascii="仿宋_GB2312" w:eastAsia="仿宋_GB2312"/>
          <w:sz w:val="28"/>
          <w:szCs w:val="28"/>
          <w:lang w:val="en-US" w:eastAsia="zh-CN"/>
        </w:rPr>
        <w:t>，较上年预算安排增加2.38万元</w:t>
      </w:r>
      <w:r>
        <w:rPr>
          <w:rFonts w:hint="default" w:ascii="仿宋_GB2312" w:eastAsia="仿宋_GB2312"/>
          <w:sz w:val="28"/>
          <w:szCs w:val="28"/>
          <w:lang w:val="en-US" w:eastAsia="zh-CN"/>
        </w:rPr>
        <w:t>。</w:t>
      </w:r>
    </w:p>
    <w:p>
      <w:pPr>
        <w:pStyle w:val="2"/>
        <w:ind w:firstLine="560" w:firstLineChars="200"/>
        <w:rPr>
          <w:rFonts w:hint="default" w:ascii="仿宋_GB2312" w:hAnsi="Times New Roman" w:eastAsia="仿宋_GB2312" w:cs="Times New Roman"/>
          <w:b w:val="0"/>
          <w:color w:val="auto"/>
          <w:kern w:val="2"/>
          <w:sz w:val="28"/>
          <w:szCs w:val="28"/>
          <w:lang w:val="en-US" w:eastAsia="zh-CN" w:bidi="ar-SA"/>
        </w:rPr>
      </w:pPr>
      <w:r>
        <w:rPr>
          <w:rFonts w:hint="default" w:ascii="仿宋_GB2312" w:hAnsi="Times New Roman" w:eastAsia="仿宋_GB2312" w:cs="Times New Roman"/>
          <w:b w:val="0"/>
          <w:color w:val="auto"/>
          <w:kern w:val="2"/>
          <w:sz w:val="28"/>
          <w:szCs w:val="28"/>
          <w:lang w:val="en-US" w:eastAsia="zh-CN" w:bidi="ar-SA"/>
        </w:rPr>
        <w:t>按支出项目类别划分：基本支出</w:t>
      </w:r>
      <w:r>
        <w:rPr>
          <w:rFonts w:hint="eastAsia" w:ascii="仿宋_GB2312" w:hAnsi="Times New Roman" w:eastAsia="仿宋_GB2312" w:cs="Times New Roman"/>
          <w:b w:val="0"/>
          <w:color w:val="auto"/>
          <w:kern w:val="2"/>
          <w:sz w:val="28"/>
          <w:szCs w:val="28"/>
          <w:lang w:val="en-US" w:eastAsia="zh-CN" w:bidi="ar-SA"/>
        </w:rPr>
        <w:t>494.96</w:t>
      </w:r>
      <w:r>
        <w:rPr>
          <w:rFonts w:hint="default" w:ascii="仿宋_GB2312" w:hAnsi="Times New Roman" w:eastAsia="仿宋_GB2312" w:cs="Times New Roman"/>
          <w:b w:val="0"/>
          <w:color w:val="auto"/>
          <w:kern w:val="2"/>
          <w:sz w:val="28"/>
          <w:szCs w:val="28"/>
          <w:lang w:val="en-US" w:eastAsia="zh-CN" w:bidi="ar-SA"/>
        </w:rPr>
        <w:t>万元，</w:t>
      </w:r>
      <w:r>
        <w:rPr>
          <w:rFonts w:hint="eastAsia" w:ascii="仿宋_GB2312" w:hAnsi="Times New Roman" w:eastAsia="仿宋_GB2312" w:cs="Times New Roman"/>
          <w:b w:val="0"/>
          <w:color w:val="auto"/>
          <w:kern w:val="2"/>
          <w:sz w:val="28"/>
          <w:szCs w:val="28"/>
          <w:lang w:val="en-US" w:eastAsia="zh-CN" w:bidi="ar-SA"/>
        </w:rPr>
        <w:t>较上年预算安排增加62.56万元；其中：</w:t>
      </w:r>
      <w:r>
        <w:rPr>
          <w:rFonts w:hint="default" w:ascii="仿宋_GB2312" w:hAnsi="Times New Roman" w:eastAsia="仿宋_GB2312" w:cs="Times New Roman"/>
          <w:b w:val="0"/>
          <w:color w:val="auto"/>
          <w:kern w:val="2"/>
          <w:sz w:val="28"/>
          <w:szCs w:val="28"/>
          <w:lang w:val="en-US" w:eastAsia="zh-CN" w:bidi="ar-SA"/>
        </w:rPr>
        <w:t>工资福利支出</w:t>
      </w:r>
      <w:r>
        <w:rPr>
          <w:rFonts w:hint="eastAsia" w:ascii="仿宋_GB2312" w:hAnsi="Times New Roman" w:eastAsia="仿宋_GB2312" w:cs="Times New Roman"/>
          <w:b w:val="0"/>
          <w:color w:val="auto"/>
          <w:kern w:val="2"/>
          <w:sz w:val="28"/>
          <w:szCs w:val="28"/>
          <w:lang w:val="en-US" w:eastAsia="zh-CN" w:bidi="ar-SA"/>
        </w:rPr>
        <w:t>458.30</w:t>
      </w:r>
      <w:r>
        <w:rPr>
          <w:rFonts w:hint="default" w:ascii="仿宋_GB2312" w:hAnsi="Times New Roman" w:eastAsia="仿宋_GB2312" w:cs="Times New Roman"/>
          <w:b w:val="0"/>
          <w:color w:val="auto"/>
          <w:kern w:val="2"/>
          <w:sz w:val="28"/>
          <w:szCs w:val="28"/>
          <w:lang w:val="en-US" w:eastAsia="zh-CN" w:bidi="ar-SA"/>
        </w:rPr>
        <w:t>万元</w:t>
      </w:r>
      <w:r>
        <w:rPr>
          <w:rFonts w:hint="eastAsia" w:ascii="仿宋_GB2312" w:hAnsi="Times New Roman" w:eastAsia="仿宋_GB2312" w:cs="Times New Roman"/>
          <w:b w:val="0"/>
          <w:color w:val="auto"/>
          <w:kern w:val="2"/>
          <w:sz w:val="28"/>
          <w:szCs w:val="28"/>
          <w:lang w:val="en-US" w:eastAsia="zh-CN" w:bidi="ar-SA"/>
        </w:rPr>
        <w:t>，商品和服务</w:t>
      </w:r>
      <w:r>
        <w:rPr>
          <w:rFonts w:hint="default" w:ascii="仿宋_GB2312" w:hAnsi="Times New Roman" w:eastAsia="仿宋_GB2312" w:cs="Times New Roman"/>
          <w:b w:val="0"/>
          <w:color w:val="auto"/>
          <w:kern w:val="2"/>
          <w:sz w:val="28"/>
          <w:szCs w:val="28"/>
          <w:lang w:val="en-US" w:eastAsia="zh-CN" w:bidi="ar-SA"/>
        </w:rPr>
        <w:t>支出</w:t>
      </w:r>
      <w:r>
        <w:rPr>
          <w:rFonts w:hint="eastAsia" w:ascii="仿宋_GB2312" w:hAnsi="Times New Roman" w:eastAsia="仿宋_GB2312" w:cs="Times New Roman"/>
          <w:b w:val="0"/>
          <w:color w:val="auto"/>
          <w:kern w:val="2"/>
          <w:sz w:val="28"/>
          <w:szCs w:val="28"/>
          <w:lang w:val="en-US" w:eastAsia="zh-CN" w:bidi="ar-SA"/>
        </w:rPr>
        <w:t>35.57</w:t>
      </w:r>
      <w:r>
        <w:rPr>
          <w:rFonts w:hint="default" w:ascii="仿宋_GB2312" w:hAnsi="Times New Roman" w:eastAsia="仿宋_GB2312" w:cs="Times New Roman"/>
          <w:b w:val="0"/>
          <w:color w:val="auto"/>
          <w:kern w:val="2"/>
          <w:sz w:val="28"/>
          <w:szCs w:val="28"/>
          <w:lang w:val="en-US" w:eastAsia="zh-CN" w:bidi="ar-SA"/>
        </w:rPr>
        <w:t>万元</w:t>
      </w:r>
      <w:r>
        <w:rPr>
          <w:rFonts w:hint="eastAsia" w:ascii="仿宋_GB2312" w:hAnsi="Times New Roman" w:eastAsia="仿宋_GB2312" w:cs="Times New Roman"/>
          <w:b w:val="0"/>
          <w:color w:val="auto"/>
          <w:kern w:val="2"/>
          <w:sz w:val="28"/>
          <w:szCs w:val="28"/>
          <w:lang w:val="en-US" w:eastAsia="zh-CN" w:bidi="ar-SA"/>
        </w:rPr>
        <w:t>。</w:t>
      </w:r>
    </w:p>
    <w:p>
      <w:pPr>
        <w:keepNext w:val="0"/>
        <w:keepLines w:val="0"/>
        <w:pageBreakBefore w:val="0"/>
        <w:kinsoku/>
        <w:wordWrap/>
        <w:overflowPunct/>
        <w:topLinePunct w:val="0"/>
        <w:bidi w:val="0"/>
        <w:adjustRightInd w:val="0"/>
        <w:spacing w:line="500" w:lineRule="exact"/>
        <w:ind w:firstLine="562" w:firstLineChars="200"/>
        <w:textAlignment w:val="auto"/>
        <w:rPr>
          <w:rFonts w:ascii="楷体_GB2312" w:hAnsi="楷体_GB2312" w:eastAsia="楷体_GB2312" w:cs="楷体_GB2312"/>
          <w:b/>
          <w:sz w:val="28"/>
          <w:szCs w:val="28"/>
        </w:rPr>
      </w:pPr>
      <w:r>
        <w:rPr>
          <w:rFonts w:hint="eastAsia" w:ascii="楷体_GB2312" w:hAnsi="楷体_GB2312" w:eastAsia="楷体_GB2312" w:cs="楷体_GB2312"/>
          <w:b/>
          <w:sz w:val="28"/>
          <w:szCs w:val="28"/>
        </w:rPr>
        <w:t>（四）政府性基金情况</w:t>
      </w:r>
    </w:p>
    <w:p>
      <w:pPr>
        <w:keepNext w:val="0"/>
        <w:keepLines w:val="0"/>
        <w:pageBreakBefore w:val="0"/>
        <w:kinsoku/>
        <w:wordWrap/>
        <w:overflowPunct/>
        <w:topLinePunct w:val="0"/>
        <w:autoSpaceDE w:val="0"/>
        <w:autoSpaceDN w:val="0"/>
        <w:bidi w:val="0"/>
        <w:adjustRightInd w:val="0"/>
        <w:spacing w:line="500" w:lineRule="exact"/>
        <w:ind w:firstLine="560" w:firstLineChars="200"/>
        <w:jc w:val="left"/>
        <w:textAlignment w:val="auto"/>
        <w:rPr>
          <w:rFonts w:hint="eastAsia"/>
        </w:rPr>
      </w:pPr>
      <w:r>
        <w:rPr>
          <w:rFonts w:hint="eastAsia" w:ascii="仿宋_GB2312" w:hAnsi="Times New Roman" w:eastAsia="仿宋_GB2312" w:cs="Times New Roman"/>
          <w:sz w:val="28"/>
          <w:szCs w:val="28"/>
        </w:rPr>
        <w:t>本</w:t>
      </w:r>
      <w:r>
        <w:rPr>
          <w:rFonts w:hint="eastAsia" w:ascii="仿宋_GB2312" w:hAnsi="Times New Roman" w:eastAsia="仿宋_GB2312" w:cs="Times New Roman"/>
          <w:sz w:val="28"/>
          <w:szCs w:val="28"/>
          <w:lang w:eastAsia="zh-CN"/>
        </w:rPr>
        <w:t>单位</w:t>
      </w:r>
      <w:r>
        <w:rPr>
          <w:rFonts w:hint="eastAsia" w:ascii="仿宋_GB2312" w:hAnsi="Times New Roman" w:eastAsia="仿宋_GB2312" w:cs="Times New Roman"/>
          <w:sz w:val="28"/>
          <w:szCs w:val="28"/>
        </w:rPr>
        <w:t>没有</w:t>
      </w:r>
      <w:r>
        <w:rPr>
          <w:rFonts w:hint="eastAsia" w:ascii="仿宋_GB2312" w:hAnsi="Times New Roman" w:eastAsia="仿宋_GB2312" w:cs="Times New Roman"/>
          <w:sz w:val="28"/>
          <w:szCs w:val="28"/>
          <w:lang w:eastAsia="zh-CN"/>
        </w:rPr>
        <w:t>使用</w:t>
      </w:r>
      <w:r>
        <w:rPr>
          <w:rFonts w:hint="eastAsia" w:ascii="仿宋_GB2312" w:hAnsi="Times New Roman" w:eastAsia="仿宋_GB2312" w:cs="Times New Roman"/>
          <w:sz w:val="28"/>
          <w:szCs w:val="28"/>
        </w:rPr>
        <w:t>政府性基金预算</w:t>
      </w:r>
      <w:r>
        <w:rPr>
          <w:rFonts w:hint="eastAsia" w:ascii="仿宋_GB2312" w:hAnsi="Times New Roman" w:eastAsia="仿宋_GB2312" w:cs="Times New Roman"/>
          <w:sz w:val="28"/>
          <w:szCs w:val="28"/>
          <w:lang w:eastAsia="zh-CN"/>
        </w:rPr>
        <w:t>拨款安排的支出</w:t>
      </w:r>
      <w:r>
        <w:rPr>
          <w:rFonts w:hint="eastAsia" w:ascii="仿宋_GB2312" w:hAnsi="Times New Roman" w:eastAsia="仿宋_GB2312" w:cs="Times New Roman"/>
          <w:sz w:val="28"/>
          <w:szCs w:val="28"/>
        </w:rPr>
        <w:t>。</w:t>
      </w:r>
    </w:p>
    <w:p>
      <w:pPr>
        <w:keepNext w:val="0"/>
        <w:keepLines w:val="0"/>
        <w:pageBreakBefore w:val="0"/>
        <w:kinsoku/>
        <w:wordWrap/>
        <w:overflowPunct/>
        <w:topLinePunct w:val="0"/>
        <w:autoSpaceDE w:val="0"/>
        <w:autoSpaceDN w:val="0"/>
        <w:bidi w:val="0"/>
        <w:adjustRightInd w:val="0"/>
        <w:spacing w:line="500" w:lineRule="exact"/>
        <w:ind w:left="0" w:leftChars="0" w:firstLine="562" w:firstLineChars="200"/>
        <w:jc w:val="left"/>
        <w:textAlignment w:val="auto"/>
        <w:rPr>
          <w:rFonts w:hint="eastAsia" w:ascii="楷体_GB2312" w:eastAsia="楷体_GB2312"/>
          <w:b/>
          <w:sz w:val="28"/>
          <w:szCs w:val="28"/>
        </w:rPr>
      </w:pPr>
    </w:p>
    <w:p>
      <w:pPr>
        <w:keepNext w:val="0"/>
        <w:keepLines w:val="0"/>
        <w:pageBreakBefore w:val="0"/>
        <w:kinsoku/>
        <w:wordWrap/>
        <w:overflowPunct/>
        <w:topLinePunct w:val="0"/>
        <w:autoSpaceDE w:val="0"/>
        <w:autoSpaceDN w:val="0"/>
        <w:bidi w:val="0"/>
        <w:adjustRightInd w:val="0"/>
        <w:spacing w:line="500" w:lineRule="exact"/>
        <w:ind w:left="0" w:leftChars="0" w:firstLine="562" w:firstLineChars="200"/>
        <w:jc w:val="left"/>
        <w:textAlignment w:val="auto"/>
        <w:rPr>
          <w:rFonts w:hint="eastAsia" w:ascii="仿宋_GB2312" w:hAnsi="Times New Roman" w:eastAsia="仿宋_GB2312" w:cs="Times New Roman"/>
          <w:sz w:val="28"/>
          <w:szCs w:val="28"/>
        </w:rPr>
      </w:pPr>
      <w:r>
        <w:rPr>
          <w:rFonts w:hint="eastAsia" w:ascii="楷体_GB2312" w:eastAsia="楷体_GB2312"/>
          <w:b/>
          <w:sz w:val="28"/>
          <w:szCs w:val="28"/>
        </w:rPr>
        <w:t>（</w:t>
      </w:r>
      <w:r>
        <w:rPr>
          <w:rFonts w:hint="eastAsia" w:ascii="楷体_GB2312" w:eastAsia="楷体_GB2312"/>
          <w:b/>
          <w:sz w:val="28"/>
          <w:szCs w:val="28"/>
          <w:lang w:eastAsia="zh-CN"/>
        </w:rPr>
        <w:t>五</w:t>
      </w:r>
      <w:r>
        <w:rPr>
          <w:rFonts w:hint="eastAsia" w:ascii="楷体_GB2312" w:eastAsia="楷体_GB2312"/>
          <w:b/>
          <w:sz w:val="28"/>
          <w:szCs w:val="28"/>
        </w:rPr>
        <w:t>）</w:t>
      </w:r>
      <w:r>
        <w:rPr>
          <w:rFonts w:hint="eastAsia" w:ascii="楷体_GB2312" w:hAnsi="楷体_GB2312" w:eastAsia="楷体_GB2312" w:cs="楷体_GB2312"/>
          <w:b/>
          <w:sz w:val="28"/>
          <w:szCs w:val="28"/>
          <w:lang w:eastAsia="zh-CN"/>
        </w:rPr>
        <w:t>国有资本经营</w:t>
      </w:r>
      <w:r>
        <w:rPr>
          <w:rFonts w:hint="eastAsia" w:ascii="楷体_GB2312" w:hAnsi="楷体_GB2312" w:eastAsia="楷体_GB2312" w:cs="楷体_GB2312"/>
          <w:b/>
          <w:sz w:val="28"/>
          <w:szCs w:val="28"/>
        </w:rPr>
        <w:t>情况</w:t>
      </w:r>
    </w:p>
    <w:p>
      <w:pPr>
        <w:keepNext w:val="0"/>
        <w:keepLines w:val="0"/>
        <w:pageBreakBefore w:val="0"/>
        <w:kinsoku/>
        <w:wordWrap/>
        <w:overflowPunct/>
        <w:topLinePunct w:val="0"/>
        <w:autoSpaceDE w:val="0"/>
        <w:autoSpaceDN w:val="0"/>
        <w:bidi w:val="0"/>
        <w:adjustRightInd w:val="0"/>
        <w:spacing w:line="500" w:lineRule="exact"/>
        <w:ind w:firstLine="560" w:firstLine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w:t>
      </w:r>
      <w:r>
        <w:rPr>
          <w:rFonts w:hint="eastAsia" w:ascii="仿宋_GB2312" w:hAnsi="Times New Roman" w:eastAsia="仿宋_GB2312" w:cs="Times New Roman"/>
          <w:sz w:val="28"/>
          <w:szCs w:val="28"/>
          <w:lang w:eastAsia="zh-CN"/>
        </w:rPr>
        <w:t>单位</w:t>
      </w:r>
      <w:r>
        <w:rPr>
          <w:rFonts w:hint="eastAsia" w:ascii="仿宋_GB2312" w:hAnsi="Times New Roman" w:eastAsia="仿宋_GB2312" w:cs="Times New Roman"/>
          <w:sz w:val="28"/>
          <w:szCs w:val="28"/>
        </w:rPr>
        <w:t>没有</w:t>
      </w:r>
      <w:r>
        <w:rPr>
          <w:rFonts w:hint="eastAsia" w:ascii="仿宋_GB2312" w:hAnsi="Times New Roman" w:eastAsia="仿宋_GB2312" w:cs="Times New Roman"/>
          <w:sz w:val="28"/>
          <w:szCs w:val="28"/>
          <w:lang w:eastAsia="zh-CN"/>
        </w:rPr>
        <w:t>使用国有资本经营</w:t>
      </w:r>
      <w:r>
        <w:rPr>
          <w:rFonts w:hint="eastAsia" w:ascii="仿宋_GB2312" w:hAnsi="Times New Roman" w:eastAsia="仿宋_GB2312" w:cs="Times New Roman"/>
          <w:sz w:val="28"/>
          <w:szCs w:val="28"/>
        </w:rPr>
        <w:t>预算</w:t>
      </w:r>
      <w:r>
        <w:rPr>
          <w:rFonts w:hint="eastAsia" w:ascii="仿宋_GB2312" w:eastAsia="仿宋_GB2312"/>
          <w:sz w:val="28"/>
          <w:szCs w:val="28"/>
          <w:lang w:eastAsia="zh-CN"/>
        </w:rPr>
        <w:t>拨款安排的支出</w:t>
      </w:r>
      <w:r>
        <w:rPr>
          <w:rFonts w:hint="eastAsia" w:ascii="仿宋_GB2312" w:hAnsi="Times New Roman" w:eastAsia="仿宋_GB2312" w:cs="Times New Roman"/>
          <w:sz w:val="28"/>
          <w:szCs w:val="28"/>
        </w:rPr>
        <w:t>。</w:t>
      </w:r>
    </w:p>
    <w:p>
      <w:pPr>
        <w:keepNext w:val="0"/>
        <w:keepLines w:val="0"/>
        <w:pageBreakBefore w:val="0"/>
        <w:kinsoku/>
        <w:wordWrap/>
        <w:overflowPunct/>
        <w:topLinePunct w:val="0"/>
        <w:autoSpaceDE w:val="0"/>
        <w:autoSpaceDN w:val="0"/>
        <w:bidi w:val="0"/>
        <w:adjustRightInd w:val="0"/>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）机关运行经费等重要情况说明</w:t>
      </w:r>
    </w:p>
    <w:p>
      <w:pPr>
        <w:keepNext w:val="0"/>
        <w:keepLines w:val="0"/>
        <w:pageBreakBefore w:val="0"/>
        <w:kinsoku/>
        <w:wordWrap/>
        <w:overflowPunct/>
        <w:topLinePunct w:val="0"/>
        <w:autoSpaceDE w:val="0"/>
        <w:autoSpaceDN w:val="0"/>
        <w:bidi w:val="0"/>
        <w:adjustRightInd w:val="0"/>
        <w:spacing w:line="500" w:lineRule="exact"/>
        <w:ind w:firstLine="560" w:firstLineChars="200"/>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rPr>
        <w:t>年本单位机关运行费35.5</w:t>
      </w:r>
      <w:r>
        <w:rPr>
          <w:rFonts w:hint="eastAsia" w:ascii="仿宋_GB2312" w:hAnsi="Times New Roman" w:eastAsia="仿宋_GB2312" w:cs="Times New Roman"/>
          <w:sz w:val="28"/>
          <w:szCs w:val="28"/>
          <w:lang w:val="en-US" w:eastAsia="zh-CN"/>
        </w:rPr>
        <w:t>7</w:t>
      </w:r>
      <w:r>
        <w:rPr>
          <w:rFonts w:hint="eastAsia" w:ascii="仿宋_GB2312" w:hAnsi="Times New Roman" w:eastAsia="仿宋_GB2312" w:cs="Times New Roman"/>
          <w:sz w:val="28"/>
          <w:szCs w:val="28"/>
        </w:rPr>
        <w:t>万元，比上年预算增加</w:t>
      </w:r>
      <w:r>
        <w:rPr>
          <w:rFonts w:hint="eastAsia" w:ascii="仿宋_GB2312" w:hAnsi="Times New Roman" w:eastAsia="仿宋_GB2312" w:cs="Times New Roman"/>
          <w:sz w:val="28"/>
          <w:szCs w:val="28"/>
          <w:lang w:val="en-US" w:eastAsia="zh-CN"/>
        </w:rPr>
        <w:t>0.02</w:t>
      </w:r>
      <w:r>
        <w:rPr>
          <w:rFonts w:hint="eastAsia" w:ascii="仿宋_GB2312" w:hAnsi="Times New Roman" w:eastAsia="仿宋_GB2312" w:cs="Times New Roman"/>
          <w:sz w:val="28"/>
          <w:szCs w:val="28"/>
        </w:rPr>
        <w:t>万元，增长</w:t>
      </w:r>
      <w:r>
        <w:rPr>
          <w:rFonts w:hint="eastAsia" w:ascii="仿宋_GB2312" w:hAnsi="Times New Roman" w:eastAsia="仿宋_GB2312" w:cs="Times New Roman"/>
          <w:sz w:val="28"/>
          <w:szCs w:val="28"/>
          <w:lang w:val="en-US" w:eastAsia="zh-CN"/>
        </w:rPr>
        <w:t>0.1</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主要是公用经费增加</w:t>
      </w:r>
      <w:r>
        <w:rPr>
          <w:rFonts w:hint="eastAsia" w:ascii="仿宋_GB2312" w:hAnsi="Times New Roman" w:eastAsia="仿宋_GB2312" w:cs="Times New Roman"/>
          <w:sz w:val="28"/>
          <w:szCs w:val="28"/>
        </w:rPr>
        <w:t>。</w:t>
      </w:r>
    </w:p>
    <w:p>
      <w:pPr>
        <w:keepNext w:val="0"/>
        <w:keepLines w:val="0"/>
        <w:pageBreakBefore w:val="0"/>
        <w:kinsoku/>
        <w:wordWrap/>
        <w:overflowPunct/>
        <w:topLinePunct w:val="0"/>
        <w:autoSpaceDE w:val="0"/>
        <w:autoSpaceDN w:val="0"/>
        <w:bidi w:val="0"/>
        <w:adjustRightInd w:val="0"/>
        <w:spacing w:line="500" w:lineRule="exact"/>
        <w:ind w:firstLine="562" w:firstLineChars="200"/>
        <w:jc w:val="left"/>
        <w:textAlignment w:val="auto"/>
        <w:rPr>
          <w:rFonts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）政府采购情况说明</w:t>
      </w:r>
    </w:p>
    <w:p>
      <w:pPr>
        <w:pStyle w:val="5"/>
        <w:keepNext w:val="0"/>
        <w:keepLines w:val="0"/>
        <w:pageBreakBefore w:val="0"/>
        <w:kinsoku/>
        <w:wordWrap/>
        <w:overflowPunct/>
        <w:topLinePunct w:val="0"/>
        <w:bidi w:val="0"/>
        <w:spacing w:line="500" w:lineRule="exact"/>
        <w:ind w:left="0" w:leftChars="0" w:firstLine="560" w:firstLineChars="200"/>
        <w:textAlignment w:val="auto"/>
        <w:rPr>
          <w:rFonts w:hint="eastAsia" w:hAnsi="Times New Roman" w:eastAsia="仿宋_GB2312" w:cs="Times New Roman"/>
          <w:color w:val="auto"/>
          <w:kern w:val="2"/>
          <w:sz w:val="28"/>
          <w:szCs w:val="28"/>
          <w:lang w:val="en-US" w:eastAsia="zh-CN"/>
        </w:rPr>
      </w:pPr>
      <w:r>
        <w:rPr>
          <w:rFonts w:hint="eastAsia" w:hAnsi="Times New Roman" w:cs="Times New Roman"/>
          <w:color w:val="auto"/>
          <w:kern w:val="2"/>
          <w:sz w:val="28"/>
          <w:szCs w:val="28"/>
        </w:rPr>
        <w:t>202</w:t>
      </w:r>
      <w:r>
        <w:rPr>
          <w:rFonts w:hint="eastAsia" w:hAnsi="Times New Roman" w:cs="Times New Roman"/>
          <w:color w:val="auto"/>
          <w:kern w:val="2"/>
          <w:sz w:val="28"/>
          <w:szCs w:val="28"/>
          <w:lang w:val="en-US" w:eastAsia="zh-CN"/>
        </w:rPr>
        <w:t>3</w:t>
      </w:r>
      <w:r>
        <w:rPr>
          <w:rFonts w:hint="eastAsia" w:hAnsi="Times New Roman" w:cs="Times New Roman"/>
          <w:color w:val="auto"/>
          <w:kern w:val="2"/>
          <w:sz w:val="28"/>
          <w:szCs w:val="28"/>
        </w:rPr>
        <w:t>年</w:t>
      </w:r>
      <w:r>
        <w:rPr>
          <w:rFonts w:hint="eastAsia" w:hAnsi="Times New Roman" w:cs="Times New Roman"/>
          <w:color w:val="auto"/>
          <w:kern w:val="2"/>
          <w:sz w:val="28"/>
          <w:szCs w:val="28"/>
          <w:lang w:eastAsia="zh-CN"/>
        </w:rPr>
        <w:t>本</w:t>
      </w:r>
      <w:r>
        <w:rPr>
          <w:rFonts w:hint="eastAsia" w:hAnsi="Times New Roman" w:cs="Times New Roman"/>
          <w:color w:val="auto"/>
          <w:kern w:val="2"/>
          <w:sz w:val="28"/>
          <w:szCs w:val="28"/>
        </w:rPr>
        <w:t>单位政府采购预算共安排1</w:t>
      </w:r>
      <w:r>
        <w:rPr>
          <w:rFonts w:hint="eastAsia" w:hAnsi="Times New Roman" w:cs="Times New Roman"/>
          <w:color w:val="auto"/>
          <w:kern w:val="2"/>
          <w:sz w:val="28"/>
          <w:szCs w:val="28"/>
          <w:lang w:val="en-US" w:eastAsia="zh-CN"/>
        </w:rPr>
        <w:t>0</w:t>
      </w:r>
      <w:r>
        <w:rPr>
          <w:rFonts w:hint="eastAsia" w:hAnsi="Times New Roman" w:cs="Times New Roman"/>
          <w:color w:val="auto"/>
          <w:kern w:val="2"/>
          <w:sz w:val="28"/>
          <w:szCs w:val="28"/>
        </w:rPr>
        <w:t>万元。</w:t>
      </w:r>
      <w:r>
        <w:rPr>
          <w:rFonts w:hint="eastAsia" w:ascii="仿宋_GB2312" w:eastAsia="仿宋_GB2312"/>
          <w:sz w:val="28"/>
          <w:szCs w:val="28"/>
        </w:rPr>
        <w:t>其中，货物预算</w:t>
      </w:r>
      <w:r>
        <w:rPr>
          <w:rFonts w:hint="eastAsia"/>
          <w:sz w:val="28"/>
          <w:szCs w:val="28"/>
          <w:lang w:val="en-US" w:eastAsia="zh-CN"/>
        </w:rPr>
        <w:t>10</w:t>
      </w:r>
      <w:r>
        <w:rPr>
          <w:rFonts w:hint="eastAsia" w:ascii="仿宋_GB2312" w:eastAsia="仿宋_GB2312"/>
          <w:sz w:val="28"/>
          <w:szCs w:val="28"/>
        </w:rPr>
        <w:t>万元</w:t>
      </w:r>
      <w:r>
        <w:rPr>
          <w:rFonts w:hint="eastAsia"/>
          <w:sz w:val="28"/>
          <w:szCs w:val="28"/>
          <w:lang w:val="en-US" w:eastAsia="zh-CN"/>
        </w:rPr>
        <w:t>.</w:t>
      </w:r>
    </w:p>
    <w:p>
      <w:pPr>
        <w:pStyle w:val="5"/>
        <w:keepNext w:val="0"/>
        <w:keepLines w:val="0"/>
        <w:pageBreakBefore w:val="0"/>
        <w:kinsoku/>
        <w:wordWrap/>
        <w:overflowPunct/>
        <w:topLinePunct w:val="0"/>
        <w:bidi w:val="0"/>
        <w:spacing w:line="500" w:lineRule="exact"/>
        <w:ind w:firstLine="562" w:firstLineChars="200"/>
        <w:textAlignment w:val="auto"/>
        <w:rPr>
          <w:rFonts w:ascii="楷体_GB2312" w:hAnsi="楷体_GB2312" w:eastAsia="楷体_GB2312" w:cs="楷体_GB2312"/>
          <w:b/>
          <w:color w:val="auto"/>
          <w:kern w:val="2"/>
          <w:sz w:val="28"/>
          <w:szCs w:val="28"/>
        </w:rPr>
      </w:pPr>
      <w:r>
        <w:rPr>
          <w:rFonts w:hint="eastAsia" w:ascii="楷体_GB2312" w:hAnsi="楷体_GB2312" w:eastAsia="楷体_GB2312" w:cs="楷体_GB2312"/>
          <w:b/>
          <w:color w:val="auto"/>
          <w:kern w:val="2"/>
          <w:sz w:val="28"/>
          <w:szCs w:val="28"/>
        </w:rPr>
        <w:t>（</w:t>
      </w:r>
      <w:r>
        <w:rPr>
          <w:rFonts w:hint="eastAsia" w:ascii="楷体_GB2312" w:hAnsi="楷体_GB2312" w:eastAsia="楷体_GB2312" w:cs="楷体_GB2312"/>
          <w:b/>
          <w:color w:val="auto"/>
          <w:kern w:val="2"/>
          <w:sz w:val="28"/>
          <w:szCs w:val="28"/>
          <w:lang w:eastAsia="zh-CN"/>
        </w:rPr>
        <w:t>八</w:t>
      </w:r>
      <w:r>
        <w:rPr>
          <w:rFonts w:hint="eastAsia" w:ascii="楷体_GB2312" w:hAnsi="楷体_GB2312" w:eastAsia="楷体_GB2312" w:cs="楷体_GB2312"/>
          <w:b/>
          <w:color w:val="auto"/>
          <w:kern w:val="2"/>
          <w:sz w:val="28"/>
          <w:szCs w:val="28"/>
        </w:rPr>
        <w:t>）国有资产占有使用情况</w:t>
      </w:r>
    </w:p>
    <w:p>
      <w:pPr>
        <w:pStyle w:val="5"/>
        <w:keepNext w:val="0"/>
        <w:keepLines w:val="0"/>
        <w:pageBreakBefore w:val="0"/>
        <w:kinsoku/>
        <w:wordWrap/>
        <w:overflowPunct/>
        <w:topLinePunct w:val="0"/>
        <w:bidi w:val="0"/>
        <w:spacing w:line="500" w:lineRule="exact"/>
        <w:ind w:firstLine="560" w:firstLineChars="200"/>
        <w:textAlignment w:val="auto"/>
        <w:rPr>
          <w:rFonts w:hAnsi="Times New Roman" w:cs="Times New Roman"/>
          <w:color w:val="auto"/>
          <w:kern w:val="2"/>
          <w:sz w:val="28"/>
          <w:szCs w:val="28"/>
        </w:rPr>
      </w:pPr>
      <w:r>
        <w:rPr>
          <w:rFonts w:hint="eastAsia" w:hAnsi="Times New Roman" w:cs="Times New Roman"/>
          <w:color w:val="auto"/>
          <w:kern w:val="2"/>
          <w:sz w:val="28"/>
          <w:szCs w:val="28"/>
        </w:rPr>
        <w:t>截至202</w:t>
      </w:r>
      <w:r>
        <w:rPr>
          <w:rFonts w:hint="eastAsia" w:hAnsi="Times New Roman" w:cs="Times New Roman"/>
          <w:color w:val="auto"/>
          <w:kern w:val="2"/>
          <w:sz w:val="28"/>
          <w:szCs w:val="28"/>
          <w:lang w:val="en-US" w:eastAsia="zh-CN"/>
        </w:rPr>
        <w:t>2</w:t>
      </w:r>
      <w:r>
        <w:rPr>
          <w:rFonts w:hint="eastAsia" w:hAnsi="Times New Roman" w:cs="Times New Roman"/>
          <w:color w:val="auto"/>
          <w:kern w:val="2"/>
          <w:sz w:val="28"/>
          <w:szCs w:val="28"/>
        </w:rPr>
        <w:t>年</w:t>
      </w:r>
      <w:r>
        <w:rPr>
          <w:rFonts w:hint="eastAsia" w:hAnsi="Times New Roman" w:cs="Times New Roman"/>
          <w:color w:val="auto"/>
          <w:kern w:val="2"/>
          <w:sz w:val="28"/>
          <w:szCs w:val="28"/>
          <w:lang w:val="en-US" w:eastAsia="zh-CN"/>
        </w:rPr>
        <w:t>7</w:t>
      </w:r>
      <w:r>
        <w:rPr>
          <w:rFonts w:hint="eastAsia" w:hAnsi="Times New Roman" w:cs="Times New Roman"/>
          <w:color w:val="auto"/>
          <w:kern w:val="2"/>
          <w:sz w:val="28"/>
          <w:szCs w:val="28"/>
        </w:rPr>
        <w:t>月31日，</w:t>
      </w:r>
      <w:r>
        <w:rPr>
          <w:rFonts w:hint="eastAsia" w:hAnsi="Times New Roman" w:cs="Times New Roman"/>
          <w:color w:val="auto"/>
          <w:kern w:val="2"/>
          <w:sz w:val="28"/>
          <w:szCs w:val="28"/>
          <w:lang w:eastAsia="zh-CN"/>
        </w:rPr>
        <w:t>本单位</w:t>
      </w:r>
      <w:r>
        <w:rPr>
          <w:rFonts w:hint="eastAsia" w:hAnsi="Times New Roman" w:cs="Times New Roman"/>
          <w:color w:val="auto"/>
          <w:kern w:val="2"/>
          <w:sz w:val="28"/>
          <w:szCs w:val="28"/>
        </w:rPr>
        <w:t>共有车辆0辆，其中，一般公务用车0辆，执法执勤用车0辆。</w:t>
      </w:r>
    </w:p>
    <w:p>
      <w:pPr>
        <w:pStyle w:val="5"/>
        <w:keepNext w:val="0"/>
        <w:keepLines w:val="0"/>
        <w:pageBreakBefore w:val="0"/>
        <w:kinsoku/>
        <w:wordWrap/>
        <w:overflowPunct/>
        <w:topLinePunct w:val="0"/>
        <w:bidi w:val="0"/>
        <w:spacing w:line="500" w:lineRule="exact"/>
        <w:ind w:firstLine="560" w:firstLineChars="200"/>
        <w:textAlignment w:val="auto"/>
        <w:rPr>
          <w:rFonts w:hint="eastAsia" w:hAnsi="宋体" w:cstheme="minorBidi"/>
          <w:color w:val="auto"/>
          <w:kern w:val="2"/>
          <w:sz w:val="30"/>
          <w:szCs w:val="30"/>
        </w:rPr>
      </w:pPr>
      <w:r>
        <w:rPr>
          <w:rFonts w:hint="eastAsia" w:hAnsi="Times New Roman" w:cs="Times New Roman"/>
          <w:color w:val="auto"/>
          <w:kern w:val="2"/>
          <w:sz w:val="28"/>
          <w:szCs w:val="28"/>
        </w:rPr>
        <w:t>202</w:t>
      </w:r>
      <w:r>
        <w:rPr>
          <w:rFonts w:hint="eastAsia" w:hAnsi="Times New Roman" w:cs="Times New Roman"/>
          <w:color w:val="auto"/>
          <w:kern w:val="2"/>
          <w:sz w:val="28"/>
          <w:szCs w:val="28"/>
          <w:lang w:val="en-US" w:eastAsia="zh-CN"/>
        </w:rPr>
        <w:t>3</w:t>
      </w:r>
      <w:r>
        <w:rPr>
          <w:rFonts w:hint="eastAsia" w:hAnsi="Times New Roman" w:cs="Times New Roman"/>
          <w:color w:val="auto"/>
          <w:kern w:val="2"/>
          <w:sz w:val="28"/>
          <w:szCs w:val="28"/>
        </w:rPr>
        <w:t>年单位预算安排购置车辆0辆，未安排购置单位价值200万元以上大型设备</w:t>
      </w:r>
      <w:r>
        <w:rPr>
          <w:rFonts w:hint="eastAsia" w:hAnsi="宋体" w:cstheme="minorBidi"/>
          <w:color w:val="auto"/>
          <w:kern w:val="2"/>
          <w:sz w:val="30"/>
          <w:szCs w:val="30"/>
        </w:rPr>
        <w:t>。</w:t>
      </w:r>
    </w:p>
    <w:p>
      <w:pPr>
        <w:keepNext w:val="0"/>
        <w:keepLines w:val="0"/>
        <w:pageBreakBefore w:val="0"/>
        <w:widowControl/>
        <w:kinsoku/>
        <w:wordWrap/>
        <w:overflowPunct/>
        <w:topLinePunct w:val="0"/>
        <w:autoSpaceDE/>
        <w:autoSpaceDN/>
        <w:bidi w:val="0"/>
        <w:adjustRightInd/>
        <w:snapToGrid/>
        <w:spacing w:line="500" w:lineRule="exact"/>
        <w:ind w:left="0" w:leftChars="0"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九</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pStyle w:val="5"/>
        <w:keepNext w:val="0"/>
        <w:keepLines w:val="0"/>
        <w:pageBreakBefore w:val="0"/>
        <w:kinsoku/>
        <w:wordWrap/>
        <w:overflowPunct/>
        <w:topLinePunct w:val="0"/>
        <w:bidi w:val="0"/>
        <w:spacing w:line="500" w:lineRule="exact"/>
        <w:ind w:firstLine="560" w:firstLineChars="200"/>
        <w:textAlignment w:val="auto"/>
        <w:rPr>
          <w:rFonts w:hint="eastAsia"/>
          <w:sz w:val="28"/>
          <w:szCs w:val="28"/>
          <w:lang w:val="en-US" w:eastAsia="zh-CN"/>
        </w:rPr>
      </w:pPr>
      <w:r>
        <w:rPr>
          <w:rFonts w:hint="eastAsia" w:ascii="仿宋_GB2312" w:eastAsia="仿宋_GB2312"/>
          <w:sz w:val="28"/>
          <w:szCs w:val="28"/>
          <w:lang w:val="en-US" w:eastAsia="zh-CN"/>
        </w:rPr>
        <w:t>本单位本年度未安排项目</w:t>
      </w:r>
      <w:r>
        <w:rPr>
          <w:rFonts w:hint="eastAsia"/>
          <w:sz w:val="28"/>
          <w:szCs w:val="28"/>
          <w:lang w:val="en-US" w:eastAsia="zh-CN"/>
        </w:rPr>
        <w:t>。</w:t>
      </w:r>
    </w:p>
    <w:p>
      <w:pPr>
        <w:pStyle w:val="5"/>
        <w:keepNext w:val="0"/>
        <w:keepLines w:val="0"/>
        <w:pageBreakBefore w:val="0"/>
        <w:kinsoku/>
        <w:wordWrap/>
        <w:overflowPunct/>
        <w:topLinePunct w:val="0"/>
        <w:bidi w:val="0"/>
        <w:spacing w:line="500" w:lineRule="exact"/>
        <w:ind w:firstLine="560" w:firstLineChars="200"/>
        <w:textAlignment w:val="auto"/>
        <w:rPr>
          <w:rFonts w:hint="eastAsia"/>
          <w:sz w:val="28"/>
          <w:szCs w:val="28"/>
          <w:lang w:val="en-US" w:eastAsia="zh-CN"/>
        </w:rPr>
      </w:pPr>
    </w:p>
    <w:p>
      <w:pPr>
        <w:pStyle w:val="5"/>
        <w:keepNext w:val="0"/>
        <w:keepLines w:val="0"/>
        <w:pageBreakBefore w:val="0"/>
        <w:kinsoku/>
        <w:wordWrap/>
        <w:overflowPunct/>
        <w:topLinePunct w:val="0"/>
        <w:bidi w:val="0"/>
        <w:spacing w:line="500" w:lineRule="exact"/>
        <w:ind w:firstLine="560" w:firstLineChars="200"/>
        <w:textAlignment w:val="auto"/>
        <w:rPr>
          <w:rFonts w:ascii="黑体" w:hAnsi="Times New Roman" w:eastAsia="黑体" w:cs="Times New Roman"/>
          <w:color w:val="auto"/>
          <w:kern w:val="2"/>
          <w:sz w:val="28"/>
          <w:szCs w:val="28"/>
        </w:rPr>
      </w:pPr>
      <w:r>
        <w:rPr>
          <w:rFonts w:hint="eastAsia" w:ascii="黑体" w:hAnsi="Times New Roman" w:eastAsia="黑体" w:cs="Times New Roman"/>
          <w:color w:val="auto"/>
          <w:kern w:val="2"/>
          <w:sz w:val="28"/>
          <w:szCs w:val="28"/>
        </w:rPr>
        <w:t>二、“三公”经费预算情况说明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2023年本单位“三公”经费财政拨款安排0万元。其中: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1．因公出国（境）经费0万元，与上年保持一致。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2．公务接待费0万元，与上年保持一致。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3．公务用车运行维护费0万元，与上年保持一致。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4.公务用车购置费0万元，与上年保持一致。</w:t>
      </w:r>
    </w:p>
    <w:p>
      <w:pPr>
        <w:pStyle w:val="5"/>
        <w:keepNext w:val="0"/>
        <w:keepLines w:val="0"/>
        <w:pageBreakBefore w:val="0"/>
        <w:kinsoku/>
        <w:wordWrap/>
        <w:overflowPunct/>
        <w:topLinePunct w:val="0"/>
        <w:bidi w:val="0"/>
        <w:spacing w:line="500" w:lineRule="exact"/>
        <w:ind w:firstLine="600" w:firstLineChars="200"/>
        <w:textAlignment w:val="auto"/>
        <w:rPr>
          <w:rFonts w:hAnsi="宋体" w:cstheme="minorBidi"/>
          <w:color w:val="auto"/>
          <w:kern w:val="2"/>
          <w:sz w:val="30"/>
          <w:szCs w:val="30"/>
        </w:rPr>
      </w:pPr>
    </w:p>
    <w:p>
      <w:pPr>
        <w:keepNext w:val="0"/>
        <w:keepLines w:val="0"/>
        <w:pageBreakBefore w:val="0"/>
        <w:kinsoku/>
        <w:wordWrap/>
        <w:overflowPunct/>
        <w:topLinePunct w:val="0"/>
        <w:bidi w:val="0"/>
        <w:spacing w:line="500" w:lineRule="exact"/>
        <w:ind w:firstLine="560" w:firstLineChars="200"/>
        <w:jc w:val="center"/>
        <w:textAlignment w:val="auto"/>
        <w:rPr>
          <w:rFonts w:ascii="方正小标宋简体" w:hAnsi="Times New Roman" w:eastAsia="方正小标宋简体" w:cs="Times New Roman"/>
          <w:sz w:val="28"/>
          <w:szCs w:val="28"/>
        </w:rPr>
      </w:pPr>
      <w:r>
        <w:rPr>
          <w:rFonts w:hint="eastAsia" w:ascii="方正小标宋简体" w:hAnsi="Times New Roman" w:eastAsia="方正小标宋简体" w:cs="Times New Roman"/>
          <w:sz w:val="28"/>
          <w:szCs w:val="28"/>
        </w:rPr>
        <w:t>第四部分 名词解释</w:t>
      </w:r>
    </w:p>
    <w:p>
      <w:pPr>
        <w:pStyle w:val="5"/>
        <w:keepNext w:val="0"/>
        <w:keepLines w:val="0"/>
        <w:pageBreakBefore w:val="0"/>
        <w:kinsoku/>
        <w:wordWrap/>
        <w:overflowPunct/>
        <w:topLinePunct w:val="0"/>
        <w:bidi w:val="0"/>
        <w:spacing w:line="500" w:lineRule="exact"/>
        <w:ind w:firstLine="560" w:firstLineChars="200"/>
        <w:textAlignment w:val="auto"/>
        <w:rPr>
          <w:rFonts w:ascii="楷体" w:hAnsi="楷体" w:eastAsia="楷体" w:cs="楷体"/>
          <w:sz w:val="30"/>
          <w:szCs w:val="30"/>
        </w:rPr>
      </w:pPr>
      <w:r>
        <w:rPr>
          <w:rFonts w:hint="eastAsia" w:ascii="黑体" w:hAnsi="Times New Roman" w:eastAsia="黑体" w:cs="Times New Roman"/>
          <w:color w:val="auto"/>
          <w:kern w:val="2"/>
          <w:sz w:val="28"/>
          <w:szCs w:val="28"/>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sz w:val="28"/>
          <w:szCs w:val="28"/>
          <w:highlight w:val="none"/>
        </w:rPr>
        <w:t>财政拨款：指</w:t>
      </w:r>
      <w:r>
        <w:rPr>
          <w:rFonts w:hint="eastAsia" w:ascii="仿宋_GB2312" w:hAnsi="仿宋_GB2312" w:eastAsia="仿宋_GB2312" w:cs="仿宋_GB2312"/>
          <w:sz w:val="28"/>
          <w:szCs w:val="28"/>
          <w:highlight w:val="none"/>
          <w:lang w:eastAsia="zh-CN"/>
        </w:rPr>
        <w:t>市</w:t>
      </w:r>
      <w:r>
        <w:rPr>
          <w:rFonts w:hint="eastAsia" w:ascii="仿宋_GB2312" w:hAnsi="仿宋_GB2312" w:eastAsia="仿宋_GB2312" w:cs="仿宋_GB2312"/>
          <w:sz w:val="28"/>
          <w:szCs w:val="28"/>
          <w:highlight w:val="none"/>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b w:val="0"/>
          <w:bCs w:val="0"/>
          <w:sz w:val="28"/>
          <w:szCs w:val="28"/>
          <w:highlight w:val="none"/>
          <w:lang w:val="en-US" w:eastAsia="zh-CN"/>
        </w:rPr>
        <w:t>教育收费资金收入：</w:t>
      </w:r>
      <w:r>
        <w:rPr>
          <w:rFonts w:hint="eastAsia" w:ascii="仿宋_GB2312" w:hAnsi="仿宋_GB2312" w:eastAsia="仿宋_GB2312" w:cs="仿宋_GB2312"/>
          <w:color w:val="000000"/>
          <w:sz w:val="28"/>
          <w:szCs w:val="28"/>
          <w:lang w:val="en-US" w:eastAsia="zh-CN"/>
        </w:rPr>
        <w:t>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500" w:lineRule="exact"/>
        <w:ind w:firstLine="636" w:firstLineChars="0"/>
        <w:jc w:val="left"/>
        <w:textAlignment w:val="auto"/>
        <w:rPr>
          <w:rFonts w:hint="eastAsia" w:ascii="仿宋_GB2312" w:hAnsi="仿宋_GB2312" w:eastAsia="仿宋_GB2312" w:cs="仿宋_GB2312"/>
          <w:spacing w:val="0"/>
          <w:sz w:val="28"/>
          <w:szCs w:val="28"/>
          <w:highlight w:val="none"/>
        </w:rPr>
      </w:pPr>
      <w:r>
        <w:rPr>
          <w:rFonts w:hint="eastAsia" w:ascii="仿宋_GB2312" w:hAnsi="仿宋_GB2312" w:eastAsia="仿宋_GB2312" w:cs="仿宋_GB2312"/>
          <w:b w:val="0"/>
          <w:bCs w:val="0"/>
          <w:sz w:val="28"/>
          <w:szCs w:val="28"/>
          <w:highlight w:val="none"/>
          <w:lang w:val="en-US" w:eastAsia="zh-CN"/>
        </w:rPr>
        <w:t>(三)</w:t>
      </w:r>
      <w:r>
        <w:rPr>
          <w:rFonts w:hint="eastAsia" w:ascii="仿宋_GB2312" w:hAnsi="仿宋_GB2312" w:eastAsia="仿宋_GB2312" w:cs="仿宋_GB2312"/>
          <w:spacing w:val="0"/>
          <w:sz w:val="28"/>
          <w:szCs w:val="28"/>
          <w:highlight w:val="none"/>
        </w:rPr>
        <w:t>事业收入：</w:t>
      </w:r>
      <w:r>
        <w:rPr>
          <w:rFonts w:hint="eastAsia" w:ascii="仿宋_GB2312" w:hAnsi="仿宋_GB2312" w:eastAsia="仿宋_GB2312" w:cs="仿宋_GB2312"/>
          <w:color w:val="000000"/>
          <w:sz w:val="28"/>
          <w:szCs w:val="28"/>
        </w:rPr>
        <w:t>指事业单位开展专业业务活动及辅助活动取得的收入。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(四)</w:t>
      </w:r>
      <w:r>
        <w:rPr>
          <w:rFonts w:hint="eastAsia" w:ascii="仿宋_GB2312" w:hAnsi="仿宋_GB2312" w:eastAsia="仿宋_GB2312" w:cs="仿宋_GB2312"/>
          <w:sz w:val="28"/>
          <w:szCs w:val="28"/>
          <w:highlight w:val="none"/>
        </w:rPr>
        <w:t>事业单位经营收入：</w:t>
      </w:r>
      <w:r>
        <w:rPr>
          <w:rFonts w:hint="eastAsia" w:ascii="仿宋_GB2312" w:hAnsi="仿宋_GB2312" w:eastAsia="仿宋_GB2312" w:cs="仿宋_GB2312"/>
          <w:color w:val="000000"/>
          <w:sz w:val="28"/>
          <w:szCs w:val="28"/>
        </w:rPr>
        <w:t>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(五)</w:t>
      </w:r>
      <w:r>
        <w:rPr>
          <w:rFonts w:hint="eastAsia" w:ascii="仿宋_GB2312" w:hAnsi="仿宋_GB2312" w:eastAsia="仿宋_GB2312" w:cs="仿宋_GB2312"/>
          <w:sz w:val="28"/>
          <w:szCs w:val="28"/>
          <w:highlight w:val="none"/>
        </w:rPr>
        <w:t>附属单位上缴收入：</w:t>
      </w:r>
      <w:r>
        <w:rPr>
          <w:rFonts w:hint="eastAsia" w:ascii="仿宋_GB2312" w:hAnsi="仿宋_GB2312" w:eastAsia="仿宋_GB2312" w:cs="仿宋_GB2312"/>
          <w:color w:val="000000"/>
          <w:sz w:val="28"/>
          <w:szCs w:val="28"/>
        </w:rPr>
        <w:t>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sz w:val="28"/>
          <w:szCs w:val="28"/>
          <w:highlight w:val="none"/>
          <w:lang w:val="en-US" w:eastAsia="zh-CN"/>
        </w:rPr>
        <w:t>(六)</w:t>
      </w:r>
      <w:r>
        <w:rPr>
          <w:rFonts w:hint="eastAsia" w:ascii="仿宋_GB2312" w:hAnsi="仿宋_GB2312" w:eastAsia="仿宋_GB2312" w:cs="仿宋_GB2312"/>
          <w:sz w:val="28"/>
          <w:szCs w:val="28"/>
          <w:highlight w:val="none"/>
        </w:rPr>
        <w:t>上级补助收入：</w:t>
      </w:r>
      <w:r>
        <w:rPr>
          <w:rFonts w:hint="eastAsia" w:ascii="仿宋_GB2312" w:hAnsi="仿宋_GB2312" w:eastAsia="仿宋_GB2312" w:cs="仿宋_GB2312"/>
          <w:color w:val="000000"/>
          <w:sz w:val="28"/>
          <w:szCs w:val="28"/>
        </w:rPr>
        <w:t>反映事业单位从主管</w:t>
      </w:r>
      <w:r>
        <w:rPr>
          <w:rFonts w:hint="eastAsia" w:ascii="仿宋_GB2312" w:hAnsi="仿宋_GB2312" w:eastAsia="仿宋_GB2312" w:cs="仿宋_GB2312"/>
          <w:color w:val="000000"/>
          <w:sz w:val="28"/>
          <w:szCs w:val="28"/>
          <w:lang w:eastAsia="zh-CN"/>
        </w:rPr>
        <w:t>单位</w:t>
      </w:r>
      <w:r>
        <w:rPr>
          <w:rFonts w:hint="eastAsia" w:ascii="仿宋_GB2312" w:hAnsi="仿宋_GB2312" w:eastAsia="仿宋_GB2312" w:cs="仿宋_GB2312"/>
          <w:color w:val="000000"/>
          <w:sz w:val="28"/>
          <w:szCs w:val="28"/>
        </w:rPr>
        <w:t>和上级单位取得的非财政补助收入。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(七)</w:t>
      </w:r>
      <w:r>
        <w:rPr>
          <w:rFonts w:hint="eastAsia" w:ascii="仿宋_GB2312" w:hAnsi="仿宋_GB2312" w:eastAsia="仿宋_GB2312" w:cs="仿宋_GB2312"/>
          <w:sz w:val="28"/>
          <w:szCs w:val="28"/>
          <w:highlight w:val="none"/>
        </w:rPr>
        <w:t>其他收入：</w:t>
      </w:r>
      <w:r>
        <w:rPr>
          <w:rFonts w:hint="eastAsia" w:ascii="仿宋_GB2312" w:hAnsi="仿宋_GB2312" w:eastAsia="仿宋_GB2312" w:cs="仿宋_GB2312"/>
          <w:color w:val="000000"/>
          <w:sz w:val="28"/>
          <w:szCs w:val="28"/>
        </w:rPr>
        <w:t>指除财政拨款、事业收入、事业单位经营收入等以外的各项收入。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(八)</w:t>
      </w:r>
      <w:r>
        <w:rPr>
          <w:rFonts w:hint="eastAsia" w:ascii="仿宋_GB2312" w:hAnsi="仿宋_GB2312" w:eastAsia="仿宋_GB2312" w:cs="仿宋_GB2312"/>
          <w:sz w:val="28"/>
          <w:szCs w:val="28"/>
          <w:highlight w:val="none"/>
          <w:lang w:val="en-US" w:eastAsia="zh-CN"/>
        </w:rPr>
        <w:t>使用非财政拨款结余：</w:t>
      </w:r>
      <w:r>
        <w:rPr>
          <w:rFonts w:hint="eastAsia" w:ascii="仿宋_GB2312" w:hAnsi="仿宋_GB2312" w:eastAsia="仿宋_GB2312" w:cs="仿宋_GB2312"/>
          <w:color w:val="000000"/>
          <w:sz w:val="28"/>
          <w:szCs w:val="28"/>
        </w:rPr>
        <w:t>填列</w:t>
      </w:r>
      <w:r>
        <w:rPr>
          <w:rFonts w:hint="eastAsia" w:ascii="仿宋_GB2312" w:hAnsi="仿宋_GB2312" w:eastAsia="仿宋_GB2312" w:cs="仿宋_GB2312"/>
          <w:color w:val="000000"/>
          <w:sz w:val="28"/>
          <w:szCs w:val="28"/>
          <w:lang w:eastAsia="zh-CN"/>
        </w:rPr>
        <w:t>历年滚存的非限定用途的非统计财政拨款结余</w:t>
      </w:r>
      <w:r>
        <w:rPr>
          <w:rFonts w:hint="eastAsia" w:ascii="仿宋_GB2312" w:hAnsi="仿宋_GB2312" w:eastAsia="仿宋_GB2312" w:cs="仿宋_GB2312"/>
          <w:color w:val="000000"/>
          <w:sz w:val="28"/>
          <w:szCs w:val="28"/>
        </w:rPr>
        <w:t>弥补</w:t>
      </w:r>
      <w:r>
        <w:rPr>
          <w:rFonts w:hint="eastAsia" w:ascii="仿宋_GB2312" w:hAnsi="仿宋_GB2312" w:eastAsia="仿宋_GB2312" w:cs="仿宋_GB2312"/>
          <w:color w:val="000000"/>
          <w:sz w:val="28"/>
          <w:szCs w:val="28"/>
          <w:lang w:eastAsia="zh-CN"/>
        </w:rPr>
        <w:t>2023</w:t>
      </w:r>
      <w:r>
        <w:rPr>
          <w:rFonts w:hint="eastAsia" w:ascii="仿宋_GB2312" w:hAnsi="仿宋_GB2312" w:eastAsia="仿宋_GB2312" w:cs="仿宋_GB2312"/>
          <w:color w:val="000000"/>
          <w:sz w:val="28"/>
          <w:szCs w:val="28"/>
        </w:rPr>
        <w:t>年收支差额的数额。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(九)</w:t>
      </w:r>
      <w:r>
        <w:rPr>
          <w:rFonts w:hint="eastAsia" w:ascii="仿宋_GB2312" w:hAnsi="仿宋_GB2312" w:eastAsia="仿宋_GB2312" w:cs="仿宋_GB2312"/>
          <w:sz w:val="28"/>
          <w:szCs w:val="28"/>
          <w:highlight w:val="none"/>
          <w:lang w:val="en-US" w:eastAsia="zh-CN"/>
        </w:rPr>
        <w:t>上年结转结余：</w:t>
      </w:r>
      <w:r>
        <w:rPr>
          <w:rFonts w:hint="eastAsia" w:ascii="仿宋_GB2312" w:hAnsi="仿宋_GB2312" w:eastAsia="仿宋_GB2312" w:cs="仿宋_GB2312"/>
          <w:color w:val="000000"/>
          <w:sz w:val="28"/>
          <w:szCs w:val="28"/>
        </w:rPr>
        <w:t>填列20</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rPr>
        <w:t>年全部结转和结余的资金数，包括当年结转结余资金和历年滚存结转结余资金。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hint="eastAsia" w:ascii="仿宋_GB2312" w:eastAsia="仿宋_GB2312"/>
          <w:sz w:val="28"/>
          <w:szCs w:val="28"/>
          <w:lang w:eastAsia="zh-CN"/>
        </w:rPr>
      </w:pPr>
      <w:r>
        <w:rPr>
          <w:rFonts w:hint="eastAsia" w:ascii="楷体_GB2312" w:eastAsia="楷体_GB2312"/>
          <w:b w:val="0"/>
          <w:bCs/>
          <w:sz w:val="28"/>
          <w:szCs w:val="28"/>
        </w:rPr>
        <w:t>（一）</w:t>
      </w:r>
      <w:r>
        <w:rPr>
          <w:rFonts w:hint="eastAsia" w:ascii="仿宋_GB2312" w:eastAsia="仿宋_GB2312"/>
          <w:sz w:val="28"/>
          <w:szCs w:val="28"/>
          <w:lang w:eastAsia="zh-CN"/>
        </w:rPr>
        <w:t>自然资源海洋气象等支出自然资源事务行政运行：反映自然资源管理行政单位（包括实行公务员管理的事业单位）的基本支出。</w:t>
      </w:r>
    </w:p>
    <w:p>
      <w:pPr>
        <w:widowControl/>
        <w:spacing w:line="540" w:lineRule="exact"/>
        <w:ind w:firstLine="560" w:firstLineChars="200"/>
        <w:rPr>
          <w:rFonts w:hint="eastAsia" w:ascii="仿宋_GB2312" w:eastAsia="仿宋_GB2312"/>
          <w:sz w:val="28"/>
          <w:szCs w:val="28"/>
          <w:lang w:eastAsia="zh-CN"/>
        </w:rPr>
      </w:pPr>
      <w:r>
        <w:rPr>
          <w:rFonts w:hint="eastAsia" w:ascii="楷体_GB2312" w:eastAsia="楷体_GB2312"/>
          <w:b w:val="0"/>
          <w:bCs/>
          <w:sz w:val="28"/>
          <w:szCs w:val="28"/>
          <w:lang w:eastAsia="zh-CN"/>
        </w:rPr>
        <w:t>（二）</w:t>
      </w:r>
      <w:r>
        <w:rPr>
          <w:rFonts w:hint="eastAsia" w:ascii="仿宋_GB2312" w:eastAsia="仿宋_GB2312"/>
          <w:sz w:val="28"/>
          <w:szCs w:val="28"/>
          <w:lang w:eastAsia="zh-CN"/>
        </w:rPr>
        <w:t>一般行政管理事务：反映行政单位（包括实行公务员管理的事业单位）未单独设置相机科目的其他项目支出。</w:t>
      </w:r>
    </w:p>
    <w:p>
      <w:pPr>
        <w:widowControl/>
        <w:spacing w:line="540" w:lineRule="exact"/>
        <w:ind w:firstLine="560" w:firstLineChars="200"/>
        <w:rPr>
          <w:rFonts w:hint="eastAsia" w:ascii="仿宋_GB2312" w:eastAsia="仿宋_GB2312"/>
          <w:sz w:val="28"/>
          <w:szCs w:val="28"/>
          <w:lang w:eastAsia="zh-CN"/>
        </w:rPr>
      </w:pPr>
      <w:r>
        <w:rPr>
          <w:rFonts w:hint="eastAsia" w:ascii="楷体_GB2312" w:eastAsia="楷体_GB2312"/>
          <w:b w:val="0"/>
          <w:bCs/>
          <w:sz w:val="28"/>
          <w:szCs w:val="28"/>
          <w:lang w:eastAsia="zh-CN"/>
        </w:rPr>
        <w:t>（三）</w:t>
      </w:r>
      <w:r>
        <w:rPr>
          <w:rFonts w:hint="eastAsia" w:ascii="仿宋_GB2312" w:eastAsia="仿宋_GB2312"/>
          <w:sz w:val="28"/>
          <w:szCs w:val="28"/>
          <w:lang w:eastAsia="zh-CN"/>
        </w:rPr>
        <w:t>社会保障和就业支出、行政事业单位养老支出、行政单位离退休：反映实行归口管理的行政单位（包括实行公务员管理的事业单位）开支的离退休经费。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pPr>
      <w:r>
        <w:rPr>
          <w:rFonts w:hint="eastAsia" w:ascii="楷体_GB2312" w:eastAsia="楷体_GB2312"/>
          <w:b w:val="0"/>
          <w:bCs/>
          <w:sz w:val="28"/>
          <w:szCs w:val="28"/>
          <w:lang w:eastAsia="zh-CN"/>
        </w:rPr>
        <w:t>（四）</w:t>
      </w:r>
      <w:r>
        <w:rPr>
          <w:rFonts w:hint="eastAsia" w:ascii="仿宋_GB2312" w:eastAsia="仿宋_GB2312"/>
          <w:sz w:val="28"/>
          <w:szCs w:val="28"/>
          <w:lang w:eastAsia="zh-CN"/>
        </w:rPr>
        <w:t>机关事业单位基本养老保险缴费支出：反映机关事业单位实施养老保险制度由单位缴纳的基本养老保险支出。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sz w:val="28"/>
          <w:szCs w:val="28"/>
          <w:lang w:eastAsia="zh-CN"/>
        </w:rPr>
      </w:pPr>
      <w:r>
        <w:rPr>
          <w:rFonts w:hint="eastAsia" w:ascii="楷体_GB2312" w:eastAsia="楷体_GB2312"/>
          <w:b w:val="0"/>
          <w:bCs/>
          <w:sz w:val="28"/>
          <w:szCs w:val="28"/>
          <w:lang w:eastAsia="zh-CN"/>
        </w:rPr>
        <w:t>（五）</w:t>
      </w:r>
      <w:r>
        <w:rPr>
          <w:rFonts w:hint="eastAsia" w:ascii="仿宋_GB2312" w:eastAsia="仿宋_GB2312"/>
          <w:sz w:val="28"/>
          <w:szCs w:val="28"/>
          <w:lang w:eastAsia="zh-CN"/>
        </w:rPr>
        <w:t>住房保障支出住房改革支出住房公积金：反映行政事业单位按人力资源和社会保障部、财政部规定的基本工资和津贴补贴以及规定比例为职工缴纳的住房公积金。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sz w:val="28"/>
          <w:szCs w:val="28"/>
          <w:lang w:eastAsia="zh-CN"/>
        </w:rPr>
      </w:pPr>
      <w:r>
        <w:rPr>
          <w:rFonts w:hint="eastAsia" w:ascii="楷体_GB2312" w:eastAsia="楷体_GB2312"/>
          <w:b w:val="0"/>
          <w:bCs/>
          <w:sz w:val="28"/>
          <w:szCs w:val="28"/>
          <w:lang w:eastAsia="zh-CN"/>
        </w:rPr>
        <w:t>（六）</w:t>
      </w:r>
      <w:r>
        <w:rPr>
          <w:rFonts w:hint="eastAsia" w:ascii="仿宋_GB2312" w:eastAsia="仿宋_GB2312"/>
          <w:sz w:val="28"/>
          <w:szCs w:val="28"/>
          <w:lang w:eastAsia="zh-CN"/>
        </w:rPr>
        <w:t>购房补贴：反映按房改政策规定，行政事业单位向符合条件职工（含离退休人员）、军队（含武警）向转役复员离退休人员发放的用于购买住房的补贴。</w:t>
      </w:r>
    </w:p>
    <w:p>
      <w:pPr>
        <w:widowControl/>
        <w:spacing w:line="500" w:lineRule="exact"/>
        <w:ind w:firstLine="560" w:firstLineChars="200"/>
        <w:jc w:val="left"/>
        <w:rPr>
          <w:rFonts w:hint="eastAsia" w:ascii="黑体" w:eastAsia="黑体"/>
          <w:sz w:val="28"/>
          <w:szCs w:val="28"/>
          <w:highlight w:val="none"/>
        </w:rPr>
      </w:pPr>
      <w:r>
        <w:rPr>
          <w:rFonts w:hint="eastAsia" w:ascii="黑体" w:eastAsia="黑体"/>
          <w:sz w:val="28"/>
          <w:szCs w:val="28"/>
          <w:highlight w:val="none"/>
        </w:rPr>
        <w:t>三、相关专业名词</w:t>
      </w:r>
    </w:p>
    <w:p>
      <w:pPr>
        <w:widowControl/>
        <w:spacing w:line="600" w:lineRule="exact"/>
        <w:ind w:firstLine="560" w:firstLineChars="200"/>
        <w:jc w:val="left"/>
        <w:rPr>
          <w:rFonts w:hint="eastAsia" w:ascii="仿宋_GB2312" w:hAnsi="Times New Roman" w:eastAsia="仿宋_GB2312" w:cs="Times New Roman"/>
          <w:sz w:val="28"/>
          <w:szCs w:val="28"/>
          <w:lang w:eastAsia="zh-CN"/>
        </w:rPr>
      </w:pPr>
      <w:r>
        <w:rPr>
          <w:rFonts w:hint="eastAsia" w:ascii="楷体_GB2312" w:hAnsi="Times New Roman" w:eastAsia="楷体_GB2312" w:cs="Times New Roman"/>
          <w:b w:val="0"/>
          <w:bCs/>
          <w:sz w:val="28"/>
          <w:szCs w:val="28"/>
          <w:lang w:eastAsia="zh-CN"/>
        </w:rPr>
        <w:t>（一）</w:t>
      </w:r>
      <w:r>
        <w:rPr>
          <w:rFonts w:hint="eastAsia" w:ascii="仿宋_GB2312" w:hAnsi="Times New Roman" w:eastAsia="仿宋_GB2312" w:cs="Times New Roman"/>
          <w:sz w:val="28"/>
          <w:szCs w:val="28"/>
          <w:lang w:eastAsia="zh-CN"/>
        </w:rPr>
        <w:t>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560" w:firstLineChars="200"/>
        <w:jc w:val="left"/>
        <w:rPr>
          <w:rFonts w:ascii="仿宋" w:hAnsi="仿宋" w:eastAsia="仿宋"/>
          <w:sz w:val="28"/>
          <w:szCs w:val="28"/>
          <w:highlight w:val="none"/>
        </w:rPr>
      </w:pPr>
      <w:r>
        <w:rPr>
          <w:rFonts w:hint="eastAsia" w:ascii="楷体_GB2312" w:hAnsi="Times New Roman" w:eastAsia="楷体_GB2312" w:cs="Times New Roman"/>
          <w:b w:val="0"/>
          <w:bCs/>
          <w:sz w:val="28"/>
          <w:szCs w:val="28"/>
          <w:lang w:eastAsia="zh-CN"/>
        </w:rPr>
        <w:t>（二）</w:t>
      </w:r>
      <w:r>
        <w:rPr>
          <w:rFonts w:hint="eastAsia" w:ascii="仿宋" w:hAnsi="仿宋" w:eastAsia="仿宋"/>
          <w:sz w:val="28"/>
          <w:szCs w:val="28"/>
          <w:highlight w:val="none"/>
        </w:rPr>
        <w:t>“三公”经费：指用财政拨款安排的因公出国（境）费、公务用车购置及运行维护费和公务接待费。其中，因公出国（境）费反映单位公务出国（境）的国际旅费、国外城市间交通费、住宿费、伙食费、培训</w:t>
      </w:r>
      <w:r>
        <w:rPr>
          <w:rFonts w:hint="eastAsia" w:ascii="仿宋_GB2312" w:hAnsi="仿宋_GB2312" w:eastAsia="仿宋_GB2312" w:cs="仿宋_GB2312"/>
          <w:color w:val="000000"/>
          <w:sz w:val="28"/>
          <w:szCs w:val="28"/>
          <w:lang w:val="en-US" w:eastAsia="zh-CN"/>
        </w:rPr>
        <w:t>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kinsoku/>
        <w:wordWrap/>
        <w:overflowPunct/>
        <w:topLinePunct w:val="0"/>
        <w:bidi w:val="0"/>
        <w:spacing w:line="500" w:lineRule="exact"/>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2F613"/>
    <w:multiLevelType w:val="singleLevel"/>
    <w:tmpl w:val="9342F613"/>
    <w:lvl w:ilvl="0" w:tentative="0">
      <w:start w:val="1"/>
      <w:numFmt w:val="chineseCounting"/>
      <w:suff w:val="space"/>
      <w:lvlText w:val="第%1部分"/>
      <w:lvlJc w:val="left"/>
      <w:rPr>
        <w:rFonts w:hint="eastAsia"/>
      </w:rPr>
    </w:lvl>
  </w:abstractNum>
  <w:abstractNum w:abstractNumId="1">
    <w:nsid w:val="121D261A"/>
    <w:multiLevelType w:val="singleLevel"/>
    <w:tmpl w:val="121D261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jI2NzkwYjIwNTQyMmJlMGI0NTAzOWMyZTJmNmIifQ=="/>
  </w:docVars>
  <w:rsids>
    <w:rsidRoot w:val="00000000"/>
    <w:rsid w:val="004E2611"/>
    <w:rsid w:val="01284C10"/>
    <w:rsid w:val="01EA0118"/>
    <w:rsid w:val="02DC72C7"/>
    <w:rsid w:val="049251C3"/>
    <w:rsid w:val="04AB0032"/>
    <w:rsid w:val="05972365"/>
    <w:rsid w:val="0659586C"/>
    <w:rsid w:val="066C559F"/>
    <w:rsid w:val="06D870D9"/>
    <w:rsid w:val="078B58AB"/>
    <w:rsid w:val="08A603D1"/>
    <w:rsid w:val="0A7E1627"/>
    <w:rsid w:val="0BCF2858"/>
    <w:rsid w:val="0D093B48"/>
    <w:rsid w:val="0E303356"/>
    <w:rsid w:val="0F1E7653"/>
    <w:rsid w:val="0F8120BC"/>
    <w:rsid w:val="0FCE2E27"/>
    <w:rsid w:val="10797237"/>
    <w:rsid w:val="134E49AB"/>
    <w:rsid w:val="135872F5"/>
    <w:rsid w:val="137B3A06"/>
    <w:rsid w:val="141C0605"/>
    <w:rsid w:val="15E05662"/>
    <w:rsid w:val="1635775C"/>
    <w:rsid w:val="166B7621"/>
    <w:rsid w:val="16B94831"/>
    <w:rsid w:val="190478B9"/>
    <w:rsid w:val="1A8F336A"/>
    <w:rsid w:val="1B903686"/>
    <w:rsid w:val="1BFB4FA4"/>
    <w:rsid w:val="1D666D95"/>
    <w:rsid w:val="1DBE097F"/>
    <w:rsid w:val="1DE877AA"/>
    <w:rsid w:val="1ED55F80"/>
    <w:rsid w:val="1FA94D17"/>
    <w:rsid w:val="1FD47FE6"/>
    <w:rsid w:val="1FF540F7"/>
    <w:rsid w:val="202D1DEC"/>
    <w:rsid w:val="215869F4"/>
    <w:rsid w:val="21D2794E"/>
    <w:rsid w:val="22790897"/>
    <w:rsid w:val="23C93BD9"/>
    <w:rsid w:val="24765B0F"/>
    <w:rsid w:val="24C70119"/>
    <w:rsid w:val="25ED0053"/>
    <w:rsid w:val="269F52E4"/>
    <w:rsid w:val="27054F28"/>
    <w:rsid w:val="271433BD"/>
    <w:rsid w:val="272555CB"/>
    <w:rsid w:val="29235B3A"/>
    <w:rsid w:val="2A7C3754"/>
    <w:rsid w:val="2C9C00DD"/>
    <w:rsid w:val="2CC55886"/>
    <w:rsid w:val="30110DE2"/>
    <w:rsid w:val="30B11567"/>
    <w:rsid w:val="31501496"/>
    <w:rsid w:val="319E0453"/>
    <w:rsid w:val="32774284"/>
    <w:rsid w:val="32F26CA9"/>
    <w:rsid w:val="335F1E64"/>
    <w:rsid w:val="34086058"/>
    <w:rsid w:val="3464452F"/>
    <w:rsid w:val="348A4CBF"/>
    <w:rsid w:val="34A828D4"/>
    <w:rsid w:val="36AF6C5F"/>
    <w:rsid w:val="380F5C07"/>
    <w:rsid w:val="38392C84"/>
    <w:rsid w:val="38673C95"/>
    <w:rsid w:val="387F4EE2"/>
    <w:rsid w:val="39C12F31"/>
    <w:rsid w:val="3A3656E4"/>
    <w:rsid w:val="3A5A3EA1"/>
    <w:rsid w:val="3B967256"/>
    <w:rsid w:val="3D6A1B31"/>
    <w:rsid w:val="3DC91D31"/>
    <w:rsid w:val="3EC55271"/>
    <w:rsid w:val="3FB928FC"/>
    <w:rsid w:val="402661E4"/>
    <w:rsid w:val="48914416"/>
    <w:rsid w:val="498B355B"/>
    <w:rsid w:val="4B221C9D"/>
    <w:rsid w:val="4B893ACB"/>
    <w:rsid w:val="4C2131A8"/>
    <w:rsid w:val="4C43011D"/>
    <w:rsid w:val="4C6836E0"/>
    <w:rsid w:val="4CA46E0E"/>
    <w:rsid w:val="4D553DB6"/>
    <w:rsid w:val="4DB95598"/>
    <w:rsid w:val="51136310"/>
    <w:rsid w:val="51AC22C1"/>
    <w:rsid w:val="54B27BEE"/>
    <w:rsid w:val="54DE09E3"/>
    <w:rsid w:val="556F7038"/>
    <w:rsid w:val="56044DAE"/>
    <w:rsid w:val="567C04B4"/>
    <w:rsid w:val="57EE718F"/>
    <w:rsid w:val="582D6EF7"/>
    <w:rsid w:val="58CE59D8"/>
    <w:rsid w:val="59E7033A"/>
    <w:rsid w:val="5F661D01"/>
    <w:rsid w:val="5F7D704B"/>
    <w:rsid w:val="606A3A73"/>
    <w:rsid w:val="6089214B"/>
    <w:rsid w:val="612260FC"/>
    <w:rsid w:val="61736957"/>
    <w:rsid w:val="618E553F"/>
    <w:rsid w:val="6260512D"/>
    <w:rsid w:val="63275C4B"/>
    <w:rsid w:val="63DF02D4"/>
    <w:rsid w:val="64AF5EF8"/>
    <w:rsid w:val="66F145A6"/>
    <w:rsid w:val="67430B7A"/>
    <w:rsid w:val="67A71109"/>
    <w:rsid w:val="6848469A"/>
    <w:rsid w:val="68E048D2"/>
    <w:rsid w:val="68E1064A"/>
    <w:rsid w:val="698B0080"/>
    <w:rsid w:val="6CF50B68"/>
    <w:rsid w:val="6F977CB5"/>
    <w:rsid w:val="7036571F"/>
    <w:rsid w:val="704B68A8"/>
    <w:rsid w:val="710D46D2"/>
    <w:rsid w:val="736B3932"/>
    <w:rsid w:val="74065409"/>
    <w:rsid w:val="748F53FE"/>
    <w:rsid w:val="76261D92"/>
    <w:rsid w:val="7657019E"/>
    <w:rsid w:val="76872831"/>
    <w:rsid w:val="771A5453"/>
    <w:rsid w:val="771B741D"/>
    <w:rsid w:val="776F3A5B"/>
    <w:rsid w:val="783C589D"/>
    <w:rsid w:val="79CE0777"/>
    <w:rsid w:val="7C3C40BE"/>
    <w:rsid w:val="7CAC106D"/>
    <w:rsid w:val="7DCB56F9"/>
    <w:rsid w:val="7DDA593C"/>
    <w:rsid w:val="7DF10ED8"/>
    <w:rsid w:val="7E1864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customStyle="1" w:styleId="5">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3969</Words>
  <Characters>4213</Characters>
  <Lines>0</Lines>
  <Paragraphs>0</Paragraphs>
  <TotalTime>0</TotalTime>
  <ScaleCrop>false</ScaleCrop>
  <LinksUpToDate>false</LinksUpToDate>
  <CharactersWithSpaces>4226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2023-04-17T03:25:04Z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691721FB874644329204BE470E6DC119_13</vt:lpwstr>
  </property>
</Properties>
</file>