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rPr>
      </w:pPr>
      <w:bookmarkStart w:id="0" w:name="_Toc22609"/>
      <w:bookmarkStart w:id="1" w:name="_Toc510968174"/>
      <w:bookmarkStart w:id="2" w:name="_Toc510967775"/>
      <w:bookmarkStart w:id="3" w:name="_Toc510967583"/>
      <w:bookmarkStart w:id="4" w:name="_Toc510969565"/>
      <w:bookmarkStart w:id="5" w:name="_Toc510967945"/>
      <w:bookmarkStart w:id="10" w:name="_GoBack"/>
      <w:bookmarkEnd w:id="10"/>
      <w:r>
        <w:rPr>
          <w:rFonts w:hint="eastAsia" w:ascii="仿宋" w:hAnsi="仿宋" w:eastAsia="仿宋" w:cs="仿宋"/>
        </w:rPr>
        <w:t>20</w:t>
      </w:r>
      <w:r>
        <w:rPr>
          <w:rFonts w:hint="eastAsia" w:ascii="仿宋" w:hAnsi="仿宋" w:eastAsia="仿宋" w:cs="仿宋"/>
          <w:lang w:val="en-US" w:eastAsia="zh-CN"/>
        </w:rPr>
        <w:t>21</w:t>
      </w:r>
      <w:r>
        <w:rPr>
          <w:rFonts w:hint="eastAsia" w:ascii="仿宋" w:hAnsi="仿宋" w:eastAsia="仿宋" w:cs="仿宋"/>
        </w:rPr>
        <w:t>年</w:t>
      </w:r>
      <w:bookmarkEnd w:id="0"/>
      <w:bookmarkStart w:id="6" w:name="_Toc12571"/>
      <w:r>
        <w:rPr>
          <w:rFonts w:hint="eastAsia" w:ascii="仿宋" w:hAnsi="仿宋" w:eastAsia="仿宋" w:cs="仿宋"/>
          <w:lang w:val="en-US" w:eastAsia="zh-CN"/>
        </w:rPr>
        <w:t>度实施农村土地整治示范建设</w:t>
      </w:r>
      <w:r>
        <w:rPr>
          <w:rFonts w:hint="eastAsia" w:ascii="仿宋" w:hAnsi="仿宋" w:eastAsia="仿宋" w:cs="仿宋"/>
        </w:rPr>
        <w:t>项目</w:t>
      </w:r>
    </w:p>
    <w:p>
      <w:pPr>
        <w:pStyle w:val="4"/>
        <w:pageBreakBefore w:val="0"/>
        <w:kinsoku/>
        <w:wordWrap/>
        <w:overflowPunct/>
        <w:topLinePunct w:val="0"/>
        <w:autoSpaceDE/>
        <w:autoSpaceDN/>
        <w:bidi w:val="0"/>
        <w:adjustRightInd/>
        <w:snapToGrid/>
        <w:spacing w:line="520" w:lineRule="exact"/>
        <w:jc w:val="center"/>
        <w:textAlignment w:val="auto"/>
        <w:rPr>
          <w:rFonts w:hint="eastAsia" w:ascii="仿宋" w:hAnsi="仿宋" w:eastAsia="仿宋" w:cs="仿宋"/>
        </w:rPr>
      </w:pPr>
      <w:r>
        <w:rPr>
          <w:rFonts w:hint="eastAsia" w:ascii="仿宋" w:hAnsi="仿宋" w:eastAsia="仿宋" w:cs="仿宋"/>
        </w:rPr>
        <w:t>绩效</w:t>
      </w:r>
      <w:r>
        <w:rPr>
          <w:rFonts w:hint="eastAsia" w:ascii="仿宋" w:hAnsi="仿宋" w:eastAsia="仿宋" w:cs="仿宋"/>
          <w:lang w:eastAsia="zh-CN"/>
        </w:rPr>
        <w:t>评价</w:t>
      </w:r>
      <w:r>
        <w:rPr>
          <w:rFonts w:hint="eastAsia" w:ascii="仿宋" w:hAnsi="仿宋" w:eastAsia="仿宋" w:cs="仿宋"/>
        </w:rPr>
        <w:t>报告</w:t>
      </w:r>
      <w:bookmarkEnd w:id="1"/>
      <w:bookmarkEnd w:id="2"/>
      <w:bookmarkEnd w:id="3"/>
      <w:bookmarkEnd w:id="4"/>
      <w:bookmarkEnd w:id="5"/>
      <w:bookmarkEnd w:id="6"/>
    </w:p>
    <w:p>
      <w:pPr>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rPr>
      </w:pPr>
    </w:p>
    <w:p>
      <w:pPr>
        <w:pageBreakBefore w:val="0"/>
        <w:widowControl/>
        <w:kinsoku/>
        <w:wordWrap/>
        <w:overflowPunct/>
        <w:topLinePunct w:val="0"/>
        <w:autoSpaceDE/>
        <w:autoSpaceDN/>
        <w:bidi w:val="0"/>
        <w:adjustRightInd/>
        <w:snapToGrid/>
        <w:spacing w:line="520" w:lineRule="exact"/>
        <w:ind w:leftChars="0" w:firstLine="640"/>
        <w:jc w:val="left"/>
        <w:textAlignment w:val="auto"/>
        <w:rPr>
          <w:rFonts w:hint="eastAsia"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szCs w:val="28"/>
          <w:lang w:val="en-US"/>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的通知》等文件</w:t>
      </w:r>
      <w:r>
        <w:rPr>
          <w:rFonts w:hint="eastAsia"/>
          <w:lang w:val="en-US" w:eastAsia="zh-CN"/>
        </w:rPr>
        <w:t>精神</w:t>
      </w:r>
      <w:r>
        <w:rPr>
          <w:rFonts w:hint="eastAsia"/>
        </w:rPr>
        <w:t>，</w:t>
      </w:r>
      <w:r>
        <w:rPr>
          <w:rFonts w:hint="eastAsia"/>
          <w:lang w:val="en-US" w:eastAsia="zh-CN"/>
        </w:rPr>
        <w:t>本单位</w:t>
      </w:r>
      <w:r>
        <w:rPr>
          <w:rFonts w:hint="eastAsia"/>
        </w:rPr>
        <w:t>对</w:t>
      </w:r>
      <w:r>
        <w:rPr>
          <w:rFonts w:hint="eastAsia"/>
          <w:lang w:val="en-US" w:eastAsia="zh-CN"/>
        </w:rPr>
        <w:t>2021年度档案管理项目</w:t>
      </w:r>
      <w:r>
        <w:rPr>
          <w:rFonts w:hint="eastAsia"/>
        </w:rPr>
        <w:t>开展绩效</w:t>
      </w:r>
      <w:r>
        <w:rPr>
          <w:rFonts w:hint="eastAsia"/>
          <w:lang w:eastAsia="zh-CN"/>
        </w:rPr>
        <w:t>评价</w:t>
      </w:r>
      <w:r>
        <w:rPr>
          <w:rFonts w:hint="eastAsia"/>
        </w:rPr>
        <w:t>工作。</w:t>
      </w:r>
      <w:r>
        <w:rPr>
          <w:rFonts w:hint="eastAsia"/>
          <w:lang w:eastAsia="zh-CN"/>
        </w:rPr>
        <w:t>现将评价情况报告如下：</w:t>
      </w:r>
      <w:r>
        <w:rPr>
          <w:rFonts w:hint="eastAsia"/>
          <w:lang w:val="en-US" w:eastAsia="zh-CN"/>
        </w:rPr>
        <w:t xml:space="preserve">                     </w:t>
      </w:r>
    </w:p>
    <w:p>
      <w:pPr>
        <w:pStyle w:val="5"/>
        <w:pageBreakBefore w:val="0"/>
        <w:numPr>
          <w:ilvl w:val="0"/>
          <w:numId w:val="0"/>
        </w:numPr>
        <w:kinsoku/>
        <w:wordWrap/>
        <w:overflowPunct/>
        <w:topLinePunct w:val="0"/>
        <w:autoSpaceDE/>
        <w:autoSpaceDN/>
        <w:bidi w:val="0"/>
        <w:adjustRightInd/>
        <w:snapToGrid/>
        <w:spacing w:before="0" w:beforeLines="0" w:after="0" w:afterLines="0" w:line="520" w:lineRule="exact"/>
        <w:ind w:leftChars="0"/>
        <w:textAlignment w:val="auto"/>
      </w:pPr>
      <w:bookmarkStart w:id="7" w:name="_Toc510969567"/>
      <w:r>
        <w:rPr>
          <w:rFonts w:hint="eastAsia"/>
          <w:lang w:eastAsia="zh-CN"/>
        </w:rPr>
        <w:t>一、</w:t>
      </w:r>
      <w:r>
        <w:rPr>
          <w:rFonts w:hint="eastAsia"/>
        </w:rPr>
        <w:t>项目基本情况</w:t>
      </w:r>
      <w:bookmarkEnd w:id="7"/>
    </w:p>
    <w:p>
      <w:pPr>
        <w:pStyle w:val="6"/>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rPr>
      </w:pPr>
      <w:bookmarkStart w:id="8" w:name="_Toc510969568"/>
      <w:r>
        <w:rPr>
          <w:rFonts w:hint="eastAsia"/>
          <w:lang w:eastAsia="zh-CN"/>
        </w:rPr>
        <w:t>（一）</w:t>
      </w:r>
      <w:r>
        <w:rPr>
          <w:rFonts w:hint="eastAsia"/>
        </w:rPr>
        <w:t>项目概况</w:t>
      </w:r>
      <w:bookmarkEnd w:id="8"/>
    </w:p>
    <w:p>
      <w:pPr>
        <w:pageBreakBefore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cstheme="minorBidi"/>
          <w:b/>
          <w:kern w:val="2"/>
          <w:sz w:val="28"/>
          <w:szCs w:val="22"/>
          <w:lang w:val="en-US" w:eastAsia="zh-CN" w:bidi="ar-SA"/>
        </w:rPr>
      </w:pPr>
      <w:r>
        <w:rPr>
          <w:rFonts w:hint="eastAsia" w:eastAsia="仿宋" w:asciiTheme="minorHAnsi" w:hAnsiTheme="minorHAnsi" w:cstheme="minorBidi"/>
          <w:b/>
          <w:kern w:val="2"/>
          <w:sz w:val="28"/>
          <w:szCs w:val="22"/>
          <w:lang w:val="en-US" w:eastAsia="zh-CN" w:bidi="ar-SA"/>
        </w:rPr>
        <w:t>1、</w:t>
      </w:r>
      <w:r>
        <w:rPr>
          <w:rFonts w:hint="eastAsia" w:cstheme="minorBidi"/>
          <w:b/>
          <w:kern w:val="2"/>
          <w:sz w:val="28"/>
          <w:szCs w:val="22"/>
          <w:lang w:val="en-US" w:eastAsia="zh-CN" w:bidi="ar-SA"/>
        </w:rPr>
        <w:t>立项背景</w:t>
      </w:r>
    </w:p>
    <w:p>
      <w:pPr>
        <w:pageBreakBefore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eastAsia="仿宋" w:cstheme="minorBidi"/>
          <w:b/>
          <w:kern w:val="2"/>
          <w:sz w:val="28"/>
          <w:szCs w:val="28"/>
          <w:lang w:val="en-US" w:eastAsia="zh-CN" w:bidi="ar-SA"/>
        </w:rPr>
      </w:pPr>
      <w:r>
        <w:rPr>
          <w:rFonts w:hint="eastAsia" w:ascii="仿宋" w:hAnsi="仿宋" w:eastAsia="仿宋" w:cs="宋体"/>
          <w:bCs/>
          <w:color w:val="000000" w:themeColor="text1"/>
          <w:kern w:val="0"/>
          <w:sz w:val="28"/>
          <w:szCs w:val="28"/>
          <w14:textFill>
            <w14:solidFill>
              <w14:schemeClr w14:val="tx1"/>
            </w14:solidFill>
          </w14:textFill>
        </w:rPr>
        <w:t>该项目性质为</w:t>
      </w:r>
      <w:r>
        <w:rPr>
          <w:rFonts w:hint="eastAsia" w:ascii="仿宋" w:hAnsi="仿宋" w:cs="宋体"/>
          <w:bCs/>
          <w:color w:val="000000" w:themeColor="text1"/>
          <w:kern w:val="0"/>
          <w:sz w:val="28"/>
          <w:szCs w:val="28"/>
          <w:lang w:val="en-US" w:eastAsia="zh-CN"/>
          <w14:textFill>
            <w14:solidFill>
              <w14:schemeClr w14:val="tx1"/>
            </w14:solidFill>
          </w14:textFill>
        </w:rPr>
        <w:t>预算内</w:t>
      </w:r>
      <w:r>
        <w:rPr>
          <w:rFonts w:hint="eastAsia" w:ascii="仿宋" w:hAnsi="仿宋" w:cs="宋体"/>
          <w:bCs/>
          <w:color w:val="000000" w:themeColor="text1"/>
          <w:kern w:val="0"/>
          <w:sz w:val="28"/>
          <w:szCs w:val="28"/>
          <w:lang w:eastAsia="zh-CN"/>
          <w14:textFill>
            <w14:solidFill>
              <w14:schemeClr w14:val="tx1"/>
            </w14:solidFill>
          </w14:textFill>
        </w:rPr>
        <w:t>延续</w:t>
      </w:r>
      <w:r>
        <w:rPr>
          <w:rFonts w:hint="eastAsia" w:ascii="仿宋" w:hAnsi="仿宋" w:eastAsia="仿宋" w:cs="宋体"/>
          <w:bCs/>
          <w:color w:val="000000" w:themeColor="text1"/>
          <w:kern w:val="0"/>
          <w:sz w:val="28"/>
          <w:szCs w:val="28"/>
          <w14:textFill>
            <w14:solidFill>
              <w14:schemeClr w14:val="tx1"/>
            </w14:solidFill>
          </w14:textFill>
        </w:rPr>
        <w:t>项目</w:t>
      </w:r>
      <w:r>
        <w:rPr>
          <w:rFonts w:hint="eastAsia" w:ascii="仿宋" w:hAnsi="仿宋" w:cs="宋体"/>
          <w:bCs/>
          <w:color w:val="000000" w:themeColor="text1"/>
          <w:kern w:val="0"/>
          <w:sz w:val="28"/>
          <w:szCs w:val="28"/>
          <w:lang w:eastAsia="zh-CN"/>
          <w14:textFill>
            <w14:solidFill>
              <w14:schemeClr w14:val="tx1"/>
            </w14:solidFill>
          </w14:textFill>
        </w:rPr>
        <w:t>，</w:t>
      </w:r>
      <w:r>
        <w:rPr>
          <w:rFonts w:hint="eastAsia"/>
          <w:lang w:eastAsia="zh-CN"/>
        </w:rPr>
        <w:t>所需经费</w:t>
      </w:r>
      <w:r>
        <w:rPr>
          <w:rFonts w:hint="eastAsia"/>
          <w:lang w:val="en-US" w:eastAsia="zh-CN"/>
        </w:rPr>
        <w:t>由市</w:t>
      </w:r>
      <w:r>
        <w:rPr>
          <w:rFonts w:hint="eastAsia"/>
          <w:lang w:eastAsia="zh-CN"/>
        </w:rPr>
        <w:t>财政</w:t>
      </w:r>
      <w:r>
        <w:rPr>
          <w:rFonts w:hint="eastAsia"/>
          <w:lang w:val="en-US" w:eastAsia="zh-CN"/>
        </w:rPr>
        <w:t>在2021年部门年度预算中</w:t>
      </w:r>
      <w:r>
        <w:rPr>
          <w:rFonts w:hint="eastAsia"/>
          <w:lang w:eastAsia="zh-CN"/>
        </w:rPr>
        <w:t>安排。</w:t>
      </w:r>
    </w:p>
    <w:p>
      <w:pPr>
        <w:pStyle w:val="6"/>
        <w:pageBreakBefore w:val="0"/>
        <w:numPr>
          <w:ilvl w:val="0"/>
          <w:numId w:val="1"/>
        </w:numPr>
        <w:kinsoku/>
        <w:wordWrap/>
        <w:overflowPunct/>
        <w:topLinePunct w:val="0"/>
        <w:autoSpaceDE/>
        <w:autoSpaceDN/>
        <w:bidi w:val="0"/>
        <w:adjustRightInd/>
        <w:snapToGrid/>
        <w:spacing w:line="520" w:lineRule="exact"/>
        <w:ind w:leftChars="0" w:firstLine="562" w:firstLineChars="200"/>
        <w:textAlignment w:val="auto"/>
        <w:rPr>
          <w:rFonts w:hint="eastAsia"/>
          <w:lang w:eastAsia="zh-CN"/>
        </w:rPr>
      </w:pPr>
      <w:r>
        <w:rPr>
          <w:rFonts w:hint="eastAsia"/>
          <w:lang w:eastAsia="zh-CN"/>
        </w:rPr>
        <w:t>立项目的</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积极推进土地开发补充耕地、“旱地改水田”、建设占用耕地耕作层土壤剥离与再利用等土地整治项目的设计初审、实施过程技术指导和项目验收报备工作，根据用地报批工作新要求，进一步简化新增建设用地占用耕地踏勘工作的组织程序，优化踏勘服务工作。</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项目内容、执行标准和实施期限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项目内容</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积极推进土地开发补充耕地、“旱地改水田”、建设占用耕地耕作层土壤剥离与再利用等土地整治项目的设计初审、实施过程技术指导和项目验收报备工作，根据用地报批工作新要求，进一步简化新增建设用地占用耕地踏勘工作的组织程序，优化踏勘服务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项目费用控制在21.26万元以内。</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lang w:val="en-US" w:eastAsia="zh-CN"/>
        </w:rPr>
      </w:pPr>
      <w:r>
        <w:rPr>
          <w:rFonts w:hint="eastAsia"/>
          <w:lang w:val="en-US" w:eastAsia="zh-CN"/>
        </w:rPr>
        <w:t>实施期限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项目计划完成期限：2021年1月1日-2021年12月10日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项目实际完成期限：2021年1月1日-2021年12月10日</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本项目2021年预算安排为21.26万元实际到位21.26万元，实际支出0万元。</w:t>
      </w:r>
    </w:p>
    <w:p>
      <w:pPr>
        <w:pStyle w:val="6"/>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项目组织管理情况</w:t>
      </w:r>
    </w:p>
    <w:p>
      <w:pPr>
        <w:keepNext w:val="0"/>
        <w:keepLines w:val="0"/>
        <w:pageBreakBefore w:val="0"/>
        <w:numPr>
          <w:ilvl w:val="0"/>
          <w:numId w:val="3"/>
        </w:numPr>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val="en-US" w:eastAsia="zh-CN"/>
        </w:rPr>
        <w:t>管理机构建立情况：</w:t>
      </w:r>
      <w:r>
        <w:rPr>
          <w:rFonts w:hint="eastAsia" w:ascii="华文仿宋" w:hAnsi="华文仿宋" w:eastAsia="华文仿宋"/>
          <w:sz w:val="30"/>
          <w:szCs w:val="30"/>
        </w:rPr>
        <w:t>成立由单位领导班子、</w:t>
      </w:r>
      <w:r>
        <w:rPr>
          <w:rFonts w:hint="eastAsia" w:ascii="华文仿宋" w:hAnsi="华文仿宋" w:eastAsia="华文仿宋"/>
          <w:sz w:val="30"/>
          <w:szCs w:val="30"/>
          <w:lang w:val="en-US" w:eastAsia="zh-CN"/>
        </w:rPr>
        <w:t>财务分管</w:t>
      </w:r>
      <w:r>
        <w:rPr>
          <w:rFonts w:hint="eastAsia" w:ascii="华文仿宋" w:hAnsi="华文仿宋" w:eastAsia="华文仿宋"/>
          <w:sz w:val="30"/>
          <w:szCs w:val="30"/>
        </w:rPr>
        <w:t>负责人组成的预算管理委员会，作为专门履行预算管理职能的决策机构</w:t>
      </w:r>
      <w:r>
        <w:rPr>
          <w:rFonts w:hint="eastAsia"/>
          <w:lang w:val="en-US"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lang w:val="en-US" w:eastAsia="zh-CN"/>
        </w:rPr>
      </w:pPr>
      <w:r>
        <w:rPr>
          <w:rFonts w:hint="eastAsia"/>
          <w:lang w:val="en-US" w:eastAsia="zh-CN"/>
        </w:rPr>
        <w:t>内部控制建立情况:单位制定了《事务服务中心预算业务管理制度》；</w:t>
      </w:r>
      <w:r>
        <w:rPr>
          <w:rFonts w:hint="eastAsia"/>
          <w:lang w:val="en-US" w:eastAsia="zh-CN"/>
        </w:rPr>
        <w:br w:type="textWrapping"/>
      </w:r>
      <w:r>
        <w:rPr>
          <w:rFonts w:hint="eastAsia"/>
          <w:lang w:val="en-US" w:eastAsia="zh-CN"/>
        </w:rPr>
        <w:t xml:space="preserve">    （3）历次审计(检查/稽查) 存在的问题及整改情况:无。</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562" w:leftChars="0" w:hanging="562" w:hangingChars="200"/>
        <w:jc w:val="left"/>
        <w:textAlignment w:val="auto"/>
        <w:rPr>
          <w:rFonts w:hint="eastAsia" w:ascii="仿宋" w:hAnsi="仿宋" w:eastAsia="仿宋" w:cs="仿宋"/>
          <w:b/>
          <w:bCs/>
          <w:lang w:val="en-US" w:eastAsia="zh-CN"/>
        </w:rPr>
      </w:pPr>
      <w:r>
        <w:rPr>
          <w:rFonts w:hint="eastAsia" w:ascii="仿宋" w:hAnsi="仿宋" w:eastAsia="仿宋" w:cs="仿宋"/>
          <w:b/>
          <w:kern w:val="2"/>
          <w:sz w:val="28"/>
          <w:szCs w:val="22"/>
          <w:lang w:val="en-US" w:eastAsia="zh-CN" w:bidi="ar-SA"/>
        </w:rPr>
        <w:t>项目绩效目标</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b/>
          <w:bCs/>
          <w:lang w:val="en-US" w:eastAsia="zh-CN"/>
        </w:rPr>
        <w:t>1、项目绩效总目标</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积极推进土地开发补充耕地、“旱地改水田”、建设占用耕地耕作层土壤剥离与再利用等土地整治项目的设计初审、实施过程技术指导和项目验收报备工作，根据用地报批工作新要求，进一步简化新增建设用地占用耕地踏勘工作的组织程序，优化踏勘服务工作。</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val="en-US" w:eastAsia="zh-CN"/>
        </w:rPr>
        <w:t xml:space="preserve"> </w:t>
      </w:r>
      <w:r>
        <w:rPr>
          <w:rFonts w:hint="eastAsia" w:ascii="仿宋" w:hAnsi="仿宋" w:eastAsia="仿宋" w:cs="仿宋"/>
          <w:b/>
          <w:bCs/>
          <w:lang w:val="en-US" w:eastAsia="zh-CN"/>
        </w:rPr>
        <w:t>2、项目年度绩效目标</w:t>
      </w:r>
      <w:r>
        <w:rPr>
          <w:rFonts w:hint="eastAsia"/>
          <w:lang w:val="en-US" w:eastAsia="zh-CN"/>
        </w:rPr>
        <w:br w:type="textWrapping"/>
      </w:r>
      <w:r>
        <w:rPr>
          <w:rFonts w:hint="eastAsia"/>
          <w:lang w:val="en-US" w:eastAsia="zh-CN"/>
        </w:rPr>
        <w:t xml:space="preserve">    </w:t>
      </w:r>
      <w:r>
        <w:rPr>
          <w:rFonts w:hint="eastAsia"/>
          <w:lang w:eastAsia="zh-CN"/>
        </w:rPr>
        <w:t>积极推进土地开发补充耕地、“旱地改水田”、建设占用耕地耕作层土壤剥离与再利用等土地整治项目的设计初审、实施过程技术指导和项目验收报备工作，根据用地报批工作新要求，进一步简化新增建设用地占用耕地踏勘工作的组织程序，优化踏勘服务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 xml:space="preserve"> </w:t>
      </w:r>
      <w:r>
        <w:rPr>
          <w:rFonts w:hint="eastAsia" w:ascii="仿宋" w:hAnsi="仿宋" w:eastAsia="仿宋" w:cs="仿宋"/>
          <w:b/>
          <w:bCs/>
          <w:lang w:val="en-US" w:eastAsia="zh-CN"/>
        </w:rPr>
        <w:t xml:space="preserve">3、项目预期目标完成情况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截至202</w:t>
      </w:r>
      <w:r>
        <w:rPr>
          <w:rFonts w:hint="eastAsia" w:ascii="仿宋" w:hAnsi="仿宋" w:cs="仿宋"/>
          <w:kern w:val="0"/>
          <w:sz w:val="28"/>
          <w:szCs w:val="28"/>
          <w:lang w:val="en-US" w:eastAsia="zh-CN" w:bidi="ar"/>
        </w:rPr>
        <w:t>1</w:t>
      </w:r>
      <w:r>
        <w:rPr>
          <w:rFonts w:hint="eastAsia" w:ascii="仿宋" w:hAnsi="仿宋" w:eastAsia="仿宋" w:cs="仿宋"/>
          <w:kern w:val="0"/>
          <w:sz w:val="28"/>
          <w:szCs w:val="28"/>
          <w:lang w:val="en-US" w:eastAsia="zh-CN" w:bidi="ar"/>
        </w:rPr>
        <w:t>年12月10日库存档案保护完好，已经推进土地开发补充耕地、“旱地改水田”、建设占用耕地耕作层土壤剥离与再利用等土地整治项目的设计初审、实施过程技术指导和项目验收报备工作</w:t>
      </w:r>
      <w:r>
        <w:rPr>
          <w:rFonts w:hint="eastAsia" w:ascii="仿宋" w:hAnsi="仿宋" w:cs="仿宋"/>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 w:hAnsi="仿宋" w:eastAsia="仿宋" w:cs="仿宋"/>
          <w:lang w:val="en-US" w:eastAsia="zh-CN"/>
        </w:rPr>
      </w:pPr>
      <w:r>
        <w:rPr>
          <w:rFonts w:hint="eastAsia" w:ascii="仿宋" w:hAnsi="仿宋" w:eastAsia="仿宋" w:cs="仿宋"/>
          <w:b/>
          <w:bCs/>
          <w:kern w:val="0"/>
          <w:sz w:val="32"/>
          <w:szCs w:val="32"/>
          <w:lang w:val="en-US" w:eastAsia="zh-CN" w:bidi="ar"/>
        </w:rPr>
        <w:t>二、绩效评价工作情况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28"/>
          <w:szCs w:val="28"/>
          <w:lang w:val="en-US" w:eastAsia="zh-CN" w:bidi="ar"/>
        </w:rPr>
        <w:t>(一)绩效评价目的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lang w:val="en-US" w:eastAsia="zh-CN"/>
        </w:rPr>
        <w:t>为深化预算管理改革，进一步加强项目支出的监督，提高财政资金使用效益，根据《中华人民共和国预算法》、《财政支出绩效评价管理暂行办法》和国家有关财务规章制度，结合项目经费支出的具体情况，</w:t>
      </w:r>
      <w:r>
        <w:rPr>
          <w:rFonts w:hint="eastAsia" w:ascii="仿宋" w:hAnsi="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ascii="仿宋" w:hAnsi="仿宋" w:eastAsia="仿宋" w:cs="仿宋"/>
          <w:lang w:val="en-US" w:eastAsia="zh-CN"/>
        </w:rPr>
        <w:t>进行项目支出绩效</w:t>
      </w:r>
      <w:r>
        <w:rPr>
          <w:rFonts w:hint="eastAsia" w:ascii="仿宋" w:hAnsi="仿宋" w:cs="仿宋"/>
          <w:lang w:eastAsia="zh-CN"/>
        </w:rPr>
        <w:t>评价</w:t>
      </w:r>
      <w:r>
        <w:rPr>
          <w:rFonts w:hint="eastAsia" w:ascii="仿宋" w:hAnsi="仿宋" w:eastAsia="仿宋" w:cs="仿宋"/>
          <w:lang w:val="en-US" w:eastAsia="zh-CN"/>
        </w:rPr>
        <w:t>工作;此外，本次绩效</w:t>
      </w:r>
      <w:r>
        <w:rPr>
          <w:rFonts w:hint="eastAsia" w:ascii="仿宋" w:hAnsi="仿宋" w:cs="仿宋"/>
          <w:lang w:eastAsia="zh-CN"/>
        </w:rPr>
        <w:t>评价</w:t>
      </w:r>
      <w:r>
        <w:rPr>
          <w:rFonts w:hint="eastAsia" w:ascii="仿宋" w:hAnsi="仿宋" w:eastAsia="仿宋" w:cs="仿宋"/>
          <w:lang w:val="en-US" w:eastAsia="zh-CN"/>
        </w:rPr>
        <w:t>工作还力争实现以下目的:</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①贯彻落实财政部《财政支出绩效评价管理暂行办法》(财 预</w:t>
      </w:r>
      <w:r>
        <w:rPr>
          <w:rFonts w:hint="eastAsia" w:ascii="仿宋" w:hAnsi="仿宋" w:eastAsia="仿宋" w:cs="仿宋"/>
          <w:lang w:val="en-US" w:eastAsia="zh-CN"/>
        </w:rPr>
        <w:br w:type="textWrapping"/>
      </w:r>
      <w:r>
        <w:rPr>
          <w:rFonts w:hint="eastAsia" w:ascii="仿宋" w:hAnsi="仿宋" w:eastAsia="仿宋" w:cs="仿宋"/>
          <w:lang w:val="en-US" w:eastAsia="zh-CN"/>
        </w:rPr>
        <w:t>[2011]285号</w:t>
      </w:r>
      <w:r>
        <w:rPr>
          <w:rFonts w:hint="eastAsia" w:ascii="仿宋" w:hAnsi="仿宋" w:cs="仿宋"/>
          <w:lang w:val="en-US" w:eastAsia="zh-CN"/>
        </w:rPr>
        <w:t>）</w:t>
      </w:r>
      <w:r>
        <w:rPr>
          <w:rFonts w:hint="eastAsia" w:ascii="仿宋" w:hAnsi="仿宋" w:eastAsia="仿宋" w:cs="仿宋"/>
          <w:lang w:val="en-US" w:eastAsia="zh-CN"/>
        </w:rPr>
        <w:t xml:space="preserve">文件精神，按照公共财政管理要求，运用一定的指标体系和评价标准，采取科学、规范的评价方法，采用定性及定量相结合的评价指标，对本项目的投入、过程、产出、效益进行客观公正地评价。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②通过绩效评价为合理分配资金、优化支出提供依据，也为逐步建立预算编制有目标，预算执行有监控，预算完成有评价，评价结果有反馈，反馈结果有应用的绩效评价机制提供决策依据。</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③通过绩效评价总结前一年度项目实施的经验教训，为进</w:t>
      </w:r>
      <w:r>
        <w:rPr>
          <w:rFonts w:hint="eastAsia" w:ascii="仿宋" w:hAnsi="仿宋" w:cs="仿宋"/>
          <w:lang w:val="en-US" w:eastAsia="zh-CN"/>
        </w:rPr>
        <w:t>一</w:t>
      </w:r>
      <w:r>
        <w:rPr>
          <w:rFonts w:hint="default" w:ascii="仿宋" w:hAnsi="仿宋" w:cs="仿宋"/>
          <w:lang w:val="en-US" w:eastAsia="zh-CN"/>
        </w:rPr>
        <w:t>步加强</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cs="仿宋"/>
          <w:lang w:val="en-US" w:eastAsia="zh-CN"/>
        </w:rPr>
      </w:pPr>
      <w:r>
        <w:rPr>
          <w:rFonts w:hint="default" w:ascii="仿宋" w:hAnsi="仿宋" w:cs="仿宋"/>
          <w:lang w:val="en-US" w:eastAsia="zh-CN"/>
        </w:rPr>
        <w:t>本站项目管理，提高项目建设水平，发挥财政资金效益。</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firstLine="0" w:firstLineChars="0"/>
        <w:jc w:val="left"/>
        <w:textAlignment w:val="auto"/>
        <w:rPr>
          <w:rFonts w:hint="default" w:ascii="仿宋" w:hAnsi="仿宋" w:eastAsia="仿宋" w:cs="仿宋"/>
          <w:b/>
          <w:bCs/>
          <w:kern w:val="0"/>
          <w:sz w:val="28"/>
          <w:szCs w:val="28"/>
          <w:lang w:val="en-US" w:eastAsia="zh-CN" w:bidi="ar"/>
        </w:rPr>
      </w:pPr>
      <w:r>
        <w:rPr>
          <w:rFonts w:hint="default" w:ascii="仿宋" w:hAnsi="仿宋" w:eastAsia="仿宋" w:cs="仿宋"/>
          <w:b/>
          <w:bCs/>
          <w:kern w:val="0"/>
          <w:sz w:val="28"/>
          <w:szCs w:val="28"/>
          <w:lang w:val="en-US" w:eastAsia="zh-CN" w:bidi="ar"/>
        </w:rPr>
        <w:t>(二)绩效评价原则和依据、评价指标体系、评价方法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1、绩效评价原则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本次绩效评价，本站遵循科学规范原则、公正公开原则、分级分类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原则、绩效相关原则。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科学规范原则:绩效评价注重财政支出的经济性、效率性和有效性，严格执行规定的程序，采用定量与定性分析相结合的方法。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公正公开原则:坚持客观公正，标准统一、资料可靠，依法公开并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接受监督。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分级分类原则:绩效评估由县级财政部门、相关单位根据评价对象的特点分类组织实施。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绩效相关原则:绩效评价针对具体支出及其产出绩效进行，评价结果应清晰反映支出与产出绩效之间的紧密对应关系。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（1）</w:t>
      </w:r>
      <w:r>
        <w:rPr>
          <w:rFonts w:hint="default" w:ascii="仿宋" w:hAnsi="仿宋" w:eastAsia="仿宋" w:cs="仿宋"/>
          <w:lang w:val="en-US" w:eastAsia="zh-CN"/>
        </w:rPr>
        <w:t xml:space="preserve"> 财政部《财政支出绩效评价暂行管理办法》 (财预</w:t>
      </w:r>
      <w:r>
        <w:rPr>
          <w:rFonts w:hint="eastAsia" w:ascii="仿宋" w:hAnsi="仿宋" w:cs="仿宋"/>
          <w:lang w:val="en-US" w:eastAsia="zh-CN"/>
        </w:rPr>
        <w:t>[</w:t>
      </w:r>
      <w:r>
        <w:rPr>
          <w:rFonts w:hint="default" w:ascii="仿宋" w:hAnsi="仿宋" w:eastAsia="仿宋" w:cs="仿宋"/>
          <w:lang w:val="en-US" w:eastAsia="zh-CN"/>
        </w:rPr>
        <w:t>2011]285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lang w:val="en-US" w:eastAsia="zh-CN"/>
        </w:rPr>
      </w:pP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（2）</w:t>
      </w:r>
      <w:r>
        <w:rPr>
          <w:rFonts w:hint="default" w:ascii="仿宋" w:hAnsi="仿宋" w:eastAsia="仿宋" w:cs="仿宋"/>
          <w:lang w:val="en-US" w:eastAsia="zh-CN"/>
        </w:rPr>
        <w:t>财政</w:t>
      </w:r>
      <w:r>
        <w:rPr>
          <w:rFonts w:hint="eastAsia" w:ascii="仿宋" w:hAnsi="仿宋" w:cs="仿宋"/>
          <w:lang w:val="en-US" w:eastAsia="zh-CN"/>
        </w:rPr>
        <w:t>部</w:t>
      </w:r>
      <w:r>
        <w:rPr>
          <w:rFonts w:hint="default" w:ascii="仿宋" w:hAnsi="仿宋" w:eastAsia="仿宋" w:cs="仿宋"/>
          <w:lang w:val="en-US" w:eastAsia="zh-CN"/>
        </w:rPr>
        <w:t>《推进预算绩效管理的指导意见》(财</w:t>
      </w:r>
      <w:r>
        <w:rPr>
          <w:rFonts w:hint="eastAsia" w:ascii="仿宋" w:hAnsi="仿宋" w:cs="仿宋"/>
          <w:lang w:val="en-US" w:eastAsia="zh-CN"/>
        </w:rPr>
        <w:t>预[</w:t>
      </w:r>
      <w:r>
        <w:rPr>
          <w:rFonts w:hint="default" w:ascii="仿宋" w:hAnsi="仿宋" w:eastAsia="仿宋" w:cs="仿宋"/>
          <w:lang w:val="en-US" w:eastAsia="zh-CN"/>
        </w:rPr>
        <w:t>2011]</w:t>
      </w:r>
      <w:r>
        <w:rPr>
          <w:rFonts w:hint="eastAsia" w:ascii="仿宋" w:hAnsi="仿宋" w:cs="仿宋"/>
          <w:lang w:val="en-US" w:eastAsia="zh-CN"/>
        </w:rPr>
        <w:t>416</w:t>
      </w:r>
      <w:r>
        <w:rPr>
          <w:rFonts w:hint="default" w:ascii="仿宋" w:hAnsi="仿宋" w:eastAsia="仿宋" w:cs="仿宋"/>
          <w:lang w:val="en-US" w:eastAsia="zh-CN"/>
        </w:rPr>
        <w:t>号)</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财政部《预算绩效管理共性指标体系框架》</w:t>
      </w:r>
      <w:r>
        <w:rPr>
          <w:rFonts w:hint="default" w:ascii="仿宋" w:hAnsi="仿宋" w:eastAsia="仿宋" w:cs="仿宋"/>
          <w:lang w:val="en-US" w:eastAsia="zh-CN"/>
        </w:rPr>
        <w:t>(财</w:t>
      </w:r>
      <w:r>
        <w:rPr>
          <w:rFonts w:hint="eastAsia" w:ascii="仿宋" w:hAnsi="仿宋" w:cs="仿宋"/>
          <w:lang w:val="en-US" w:eastAsia="zh-CN"/>
        </w:rPr>
        <w:t>预[</w:t>
      </w:r>
      <w:r>
        <w:rPr>
          <w:rFonts w:hint="default" w:ascii="仿宋" w:hAnsi="仿宋" w:eastAsia="仿宋" w:cs="仿宋"/>
          <w:lang w:val="en-US" w:eastAsia="zh-CN"/>
        </w:rPr>
        <w:t>201</w:t>
      </w:r>
      <w:r>
        <w:rPr>
          <w:rFonts w:hint="eastAsia" w:ascii="仿宋" w:hAnsi="仿宋" w:cs="仿宋"/>
          <w:lang w:val="en-US" w:eastAsia="zh-CN"/>
        </w:rPr>
        <w:t>3</w:t>
      </w:r>
      <w:r>
        <w:rPr>
          <w:rFonts w:hint="default" w:ascii="仿宋" w:hAnsi="仿宋" w:eastAsia="仿宋" w:cs="仿宋"/>
          <w:lang w:val="en-US" w:eastAsia="zh-CN"/>
        </w:rPr>
        <w:t>]</w:t>
      </w:r>
      <w:r>
        <w:rPr>
          <w:rFonts w:hint="eastAsia" w:ascii="仿宋" w:hAnsi="仿宋" w:cs="仿宋"/>
          <w:lang w:val="en-US" w:eastAsia="zh-CN"/>
        </w:rPr>
        <w:t>53</w:t>
      </w: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cs="仿宋"/>
          <w:lang w:val="en-US" w:eastAsia="zh-CN"/>
        </w:rPr>
        <w:t>（4）</w:t>
      </w:r>
      <w:r>
        <w:rPr>
          <w:rFonts w:hint="eastAsia" w:ascii="仿宋" w:hAnsi="仿宋" w:eastAsia="仿宋" w:cs="仿宋"/>
          <w:lang w:val="en-US" w:eastAsia="zh-CN"/>
        </w:rPr>
        <w:t>江西省人民政府《关于全面推进预算绩效管理的实施意见》（赣府发[2013]8号）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南昌市人民政府</w:t>
      </w:r>
      <w:r>
        <w:rPr>
          <w:rFonts w:hint="eastAsia"/>
          <w:lang w:eastAsia="zh-CN"/>
        </w:rPr>
        <w:t>《</w:t>
      </w:r>
      <w:r>
        <w:rPr>
          <w:rFonts w:hint="eastAsia"/>
        </w:rPr>
        <w:t>关于印发&lt;南昌市财政支出绩效评价管理办法&gt;（试行）的通知</w:t>
      </w:r>
      <w:r>
        <w:rPr>
          <w:rFonts w:hint="eastAsia"/>
          <w:lang w:eastAsia="zh-CN"/>
        </w:rPr>
        <w:t>》</w:t>
      </w:r>
      <w:r>
        <w:rPr>
          <w:rFonts w:hint="eastAsia"/>
        </w:rPr>
        <w:t>（洪府发[2014]8号）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6</w:t>
      </w:r>
      <w:r>
        <w:rPr>
          <w:rFonts w:hint="eastAsia"/>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（7）</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6</w:t>
      </w:r>
      <w:r>
        <w:rPr>
          <w:rFonts w:hint="eastAsia" w:ascii="仿宋" w:hAnsi="仿宋" w:eastAsia="仿宋" w:cs="仿宋"/>
          <w:sz w:val="28"/>
          <w:szCs w:val="28"/>
        </w:rPr>
        <w:t>〕</w:t>
      </w:r>
      <w:r>
        <w:rPr>
          <w:rFonts w:hint="eastAsia" w:ascii="仿宋" w:hAnsi="仿宋" w:cs="仿宋"/>
          <w:sz w:val="28"/>
          <w:szCs w:val="28"/>
          <w:lang w:val="en-US" w:eastAsia="zh-CN"/>
        </w:rPr>
        <w:t>230</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（8）</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7</w:t>
      </w:r>
      <w:r>
        <w:rPr>
          <w:rFonts w:hint="eastAsia" w:ascii="仿宋" w:hAnsi="仿宋" w:eastAsia="仿宋" w:cs="仿宋"/>
          <w:sz w:val="28"/>
          <w:szCs w:val="28"/>
        </w:rPr>
        <w:t>〕</w:t>
      </w:r>
      <w:r>
        <w:rPr>
          <w:rFonts w:hint="eastAsia" w:ascii="仿宋" w:hAnsi="仿宋" w:cs="仿宋"/>
          <w:sz w:val="28"/>
          <w:szCs w:val="28"/>
          <w:lang w:val="en-US" w:eastAsia="zh-CN"/>
        </w:rPr>
        <w:t>418</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（9）</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9</w:t>
      </w:r>
      <w:r>
        <w:rPr>
          <w:rFonts w:hint="eastAsia" w:ascii="仿宋" w:hAnsi="仿宋" w:eastAsia="仿宋" w:cs="仿宋"/>
          <w:sz w:val="28"/>
          <w:szCs w:val="28"/>
        </w:rPr>
        <w:t>〕</w:t>
      </w:r>
      <w:r>
        <w:rPr>
          <w:rFonts w:hint="eastAsia" w:ascii="仿宋" w:hAnsi="仿宋" w:cs="仿宋"/>
          <w:sz w:val="28"/>
          <w:szCs w:val="28"/>
          <w:lang w:val="en-US" w:eastAsia="zh-CN"/>
        </w:rPr>
        <w:t>263</w:t>
      </w:r>
      <w:r>
        <w:rPr>
          <w:rFonts w:hint="eastAsia" w:ascii="仿宋" w:hAnsi="仿宋" w:eastAsia="仿宋" w:cs="仿宋"/>
          <w:sz w:val="28"/>
          <w:szCs w:val="28"/>
        </w:rPr>
        <w:t>号</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（10）市委办公厅 市政府办公厅印发《关于进一步加强和改进新形势下全市档案工作的实施意见》的通知</w:t>
      </w:r>
      <w:r>
        <w:rPr>
          <w:rFonts w:hint="eastAsia" w:ascii="仿宋" w:hAnsi="仿宋" w:cs="仿宋"/>
          <w:sz w:val="28"/>
          <w:szCs w:val="28"/>
          <w:lang w:val="en-US" w:eastAsia="zh-CN"/>
        </w:rPr>
        <w:t>（洪办发</w:t>
      </w:r>
      <w:r>
        <w:rPr>
          <w:rFonts w:hint="eastAsia" w:ascii="仿宋" w:hAnsi="仿宋" w:eastAsia="仿宋" w:cs="仿宋"/>
          <w:sz w:val="28"/>
          <w:szCs w:val="28"/>
        </w:rPr>
        <w:t>〔201</w:t>
      </w:r>
      <w:r>
        <w:rPr>
          <w:rFonts w:hint="eastAsia" w:ascii="仿宋" w:hAnsi="仿宋" w:cs="仿宋"/>
          <w:sz w:val="28"/>
          <w:szCs w:val="28"/>
          <w:lang w:val="en-US" w:eastAsia="zh-CN"/>
        </w:rPr>
        <w:t>5</w:t>
      </w:r>
      <w:r>
        <w:rPr>
          <w:rFonts w:hint="eastAsia" w:ascii="仿宋" w:hAnsi="仿宋" w:eastAsia="仿宋" w:cs="仿宋"/>
          <w:sz w:val="28"/>
          <w:szCs w:val="28"/>
        </w:rPr>
        <w:t>〕</w:t>
      </w:r>
      <w:r>
        <w:rPr>
          <w:rFonts w:hint="eastAsia" w:ascii="仿宋" w:hAnsi="仿宋" w:cs="仿宋"/>
          <w:sz w:val="28"/>
          <w:szCs w:val="28"/>
          <w:lang w:val="en-US" w:eastAsia="zh-CN"/>
        </w:rPr>
        <w:t>15</w:t>
      </w:r>
      <w:r>
        <w:rPr>
          <w:rFonts w:hint="eastAsia" w:ascii="仿宋" w:hAnsi="仿宋" w:eastAsia="仿宋" w:cs="仿宋"/>
          <w:sz w:val="28"/>
          <w:szCs w:val="28"/>
        </w:rPr>
        <w:t>号</w:t>
      </w:r>
      <w:r>
        <w:rPr>
          <w:rFonts w:hint="eastAsia" w:ascii="仿宋" w:hAnsi="仿宋" w:cs="仿宋"/>
          <w:sz w:val="28"/>
          <w:szCs w:val="28"/>
          <w:lang w:val="en-US" w:eastAsia="zh-CN"/>
        </w:rPr>
        <w:t>）</w:t>
      </w:r>
      <w:r>
        <w:rPr>
          <w:rFonts w:hint="eastAsia" w:ascii="仿宋" w:hAnsi="仿宋" w:cs="仿宋"/>
          <w:lang w:val="en-US" w:eastAsia="zh-CN"/>
        </w:rPr>
        <w:t xml:space="preserve">  </w:t>
      </w:r>
    </w:p>
    <w:p>
      <w:pPr>
        <w:pStyle w:val="6"/>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r>
        <w:rPr>
          <w:rFonts w:hint="eastAsia" w:ascii="仿宋" w:hAnsi="仿宋" w:cs="仿宋"/>
          <w:lang w:val="en-US" w:eastAsia="zh-CN"/>
        </w:rPr>
        <w:t xml:space="preserve"> </w:t>
      </w:r>
      <w:r>
        <w:rPr>
          <w:rFonts w:hint="eastAsia" w:eastAsia="仿宋" w:asciiTheme="minorHAnsi" w:hAnsiTheme="minorHAnsi" w:cstheme="minorBidi"/>
          <w:bCs w:val="0"/>
          <w:sz w:val="28"/>
          <w:szCs w:val="22"/>
        </w:rPr>
        <w:t>3、绩效评价指标体系</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根据财政部《预算绩效评价共性指标体系框架》等文件精神，确定本次绩效评价指标的整体框架，包括项目</w:t>
      </w:r>
      <w:r>
        <w:rPr>
          <w:rFonts w:hint="default" w:ascii="仿宋" w:hAnsi="仿宋" w:eastAsia="仿宋" w:cstheme="minorBidi"/>
          <w:sz w:val="28"/>
          <w:szCs w:val="28"/>
          <w:lang w:val="en-US" w:eastAsia="zh-CN"/>
        </w:rPr>
        <w:t>包括投入指标(项目立项、资金落实)、过程指标(</w:t>
      </w:r>
      <w:r>
        <w:rPr>
          <w:rFonts w:hint="eastAsia" w:ascii="仿宋" w:hAnsi="仿宋" w:eastAsia="仿宋" w:cstheme="minorBidi"/>
          <w:sz w:val="28"/>
          <w:szCs w:val="28"/>
          <w:lang w:val="en-US" w:eastAsia="zh-CN"/>
        </w:rPr>
        <w:t>资金管理、组织实施</w:t>
      </w:r>
      <w:r>
        <w:rPr>
          <w:rFonts w:hint="default" w:ascii="仿宋" w:hAnsi="仿宋" w:eastAsia="仿宋" w:cstheme="minorBidi"/>
          <w:sz w:val="28"/>
          <w:szCs w:val="28"/>
          <w:lang w:val="en-US" w:eastAsia="zh-CN"/>
        </w:rPr>
        <w:t>)、项目产出</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 xml:space="preserve">(产出数量指标、产出质量指标、产出时效指标、产出成本指标) </w:t>
      </w:r>
      <w:r>
        <w:rPr>
          <w:rFonts w:hint="eastAsia" w:ascii="仿宋" w:hAnsi="仿宋" w:eastAsia="仿宋" w:cstheme="minorBidi"/>
          <w:sz w:val="28"/>
          <w:szCs w:val="28"/>
          <w:lang w:val="en-US" w:eastAsia="zh-CN"/>
        </w:rPr>
        <w:t>，</w:t>
      </w:r>
      <w:r>
        <w:rPr>
          <w:rFonts w:hint="default" w:ascii="仿宋" w:hAnsi="仿宋" w:eastAsia="仿宋" w:cstheme="minorBidi"/>
          <w:sz w:val="28"/>
          <w:szCs w:val="28"/>
          <w:lang w:val="en-US" w:eastAsia="zh-CN"/>
        </w:rPr>
        <w:t>项目效果</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(经济效益指标、社会效益指标、生态效益指标、可持续影响指标)，项目满意度</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(社会公众或服务对象满意度)。</w:t>
      </w:r>
      <w:r>
        <w:rPr>
          <w:rFonts w:hint="eastAsia" w:ascii="仿宋" w:hAnsi="仿宋" w:eastAsia="仿宋" w:cstheme="minorBidi"/>
          <w:sz w:val="28"/>
          <w:szCs w:val="28"/>
        </w:rPr>
        <w:t>结合</w:t>
      </w:r>
      <w:r>
        <w:rPr>
          <w:rFonts w:hint="eastAsia" w:ascii="仿宋" w:hAnsi="仿宋" w:eastAsia="仿宋" w:cstheme="minorBidi"/>
          <w:sz w:val="28"/>
          <w:szCs w:val="28"/>
          <w:lang w:val="en-US" w:eastAsia="zh-CN"/>
        </w:rPr>
        <w:t>档案密集架</w:t>
      </w:r>
      <w:r>
        <w:rPr>
          <w:rFonts w:hint="eastAsia" w:ascii="仿宋" w:hAnsi="仿宋" w:eastAsia="仿宋" w:cstheme="minorBidi"/>
          <w:sz w:val="28"/>
          <w:szCs w:val="28"/>
        </w:rPr>
        <w:t>项目实际情况等内容，确定本次绩效评价指标体系的个性指标，并通过与相关各方的协商最终确定全部指标内容。指标数据来源于法规与政府文件、基础数据采集、问卷调查、访谈等。具体详见《项目绩效评分表》。</w:t>
      </w:r>
    </w:p>
    <w:p>
      <w:pPr>
        <w:pStyle w:val="6"/>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bookmarkStart w:id="9" w:name="_Toc510969580"/>
      <w:r>
        <w:rPr>
          <w:rFonts w:hint="eastAsia" w:eastAsia="仿宋" w:asciiTheme="minorHAnsi" w:hAnsiTheme="minorHAnsi" w:cstheme="minorBidi"/>
          <w:bCs w:val="0"/>
          <w:sz w:val="28"/>
          <w:szCs w:val="22"/>
        </w:rPr>
        <w:t>4、绩效评价方法</w:t>
      </w:r>
      <w:bookmarkEnd w:id="9"/>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cs="仿宋"/>
          <w:lang w:val="en-US" w:eastAsia="zh-CN"/>
        </w:rPr>
      </w:pPr>
      <w:r>
        <w:rPr>
          <w:rFonts w:hint="eastAsia" w:ascii="仿宋" w:hAnsi="仿宋" w:eastAsia="仿宋" w:cstheme="minorBidi"/>
          <w:sz w:val="28"/>
          <w:szCs w:val="28"/>
        </w:rPr>
        <w:t>主要采用了文件核查、深度访谈、财务核查、实地调研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1、成立绩效评价项目小组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default" w:ascii="仿宋" w:hAnsi="仿宋" w:eastAsia="仿宋" w:cs="仿宋"/>
          <w:lang w:val="en-US" w:eastAsia="zh-CN"/>
        </w:rPr>
        <w:t>文件要求，成立了绩效评价项目小组，具体实施项目</w:t>
      </w:r>
      <w:r>
        <w:rPr>
          <w:rFonts w:hint="eastAsia" w:ascii="仿宋" w:hAnsi="仿宋" w:cs="仿宋"/>
          <w:lang w:val="en-US" w:eastAsia="zh-CN"/>
        </w:rPr>
        <w:t>绩</w:t>
      </w:r>
      <w:r>
        <w:rPr>
          <w:rFonts w:hint="default" w:ascii="仿宋" w:hAnsi="仿宋" w:eastAsia="仿宋" w:cs="仿宋"/>
          <w:lang w:val="en-US" w:eastAsia="zh-CN"/>
        </w:rPr>
        <w:t>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2、绩效评价实施过程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(2)根据制定的项目绩效评价工作方案，收集项目情况实施材料，包括收集、审核基础资料;对收集的证据运用科学的方法进行综合分析。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(3)根据分析后的情况评分，形成综合评价结果，将评价结果纳入已确定的各项指标临界区间进行比较，确定绩效评价等级(优、良、</w:t>
      </w:r>
      <w:r>
        <w:rPr>
          <w:rFonts w:hint="eastAsia" w:ascii="仿宋" w:hAnsi="仿宋" w:cs="仿宋"/>
          <w:lang w:val="en-US" w:eastAsia="zh-CN"/>
        </w:rPr>
        <w:t>中</w:t>
      </w:r>
      <w:r>
        <w:rPr>
          <w:rFonts w:hint="default" w:ascii="仿宋" w:hAnsi="仿宋" w:eastAsia="仿宋" w:cs="仿宋"/>
          <w:lang w:val="en-US" w:eastAsia="zh-CN"/>
        </w:rPr>
        <w:t>、差)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(4)对项目评价工作进行总结，将项目的基本情况、绩效评价工作情况、评价分析及评价结果、评价等级、经验及做法、问题及建议等形成书面报告。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3、建立绩效评价工作档案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 </w:t>
      </w:r>
      <w:r>
        <w:rPr>
          <w:rFonts w:hint="eastAsia" w:ascii="仿宋" w:hAnsi="仿宋" w:cs="仿宋"/>
          <w:lang w:val="en-US" w:eastAsia="zh-CN"/>
        </w:rPr>
        <w:t>绩效</w:t>
      </w:r>
      <w:r>
        <w:rPr>
          <w:rFonts w:hint="default" w:ascii="仿宋" w:hAnsi="仿宋" w:eastAsia="仿宋" w:cs="仿宋"/>
          <w:lang w:val="en-US" w:eastAsia="zh-CN"/>
        </w:rPr>
        <w:t>评价项目</w:t>
      </w:r>
      <w:r>
        <w:rPr>
          <w:rFonts w:hint="eastAsia" w:ascii="仿宋" w:hAnsi="仿宋" w:cs="仿宋"/>
          <w:lang w:val="en-US" w:eastAsia="zh-CN"/>
        </w:rPr>
        <w:t>小</w:t>
      </w:r>
      <w:r>
        <w:rPr>
          <w:rFonts w:hint="default" w:ascii="仿宋" w:hAnsi="仿宋" w:eastAsia="仿宋" w:cs="仿宋"/>
          <w:lang w:val="en-US" w:eastAsia="zh-CN"/>
        </w:rPr>
        <w:t>组对项目评</w:t>
      </w:r>
      <w:r>
        <w:rPr>
          <w:rFonts w:hint="eastAsia" w:ascii="仿宋" w:hAnsi="仿宋" w:cs="仿宋"/>
          <w:lang w:val="en-US" w:eastAsia="zh-CN"/>
        </w:rPr>
        <w:t>价</w:t>
      </w:r>
      <w:r>
        <w:rPr>
          <w:rFonts w:hint="default" w:ascii="仿宋" w:hAnsi="仿宋" w:eastAsia="仿宋" w:cs="仿宋"/>
          <w:lang w:val="en-US" w:eastAsia="zh-CN"/>
        </w:rPr>
        <w:t>工作进行</w:t>
      </w:r>
      <w:r>
        <w:rPr>
          <w:rFonts w:hint="eastAsia" w:ascii="仿宋" w:hAnsi="仿宋" w:cs="仿宋"/>
          <w:lang w:val="en-US" w:eastAsia="zh-CN"/>
        </w:rPr>
        <w:t>总结</w:t>
      </w:r>
      <w:r>
        <w:rPr>
          <w:rFonts w:hint="default" w:ascii="仿宋" w:hAnsi="仿宋" w:eastAsia="仿宋" w:cs="仿宋"/>
          <w:lang w:val="en-US" w:eastAsia="zh-CN"/>
        </w:rPr>
        <w:t>，</w:t>
      </w:r>
      <w:r>
        <w:rPr>
          <w:rFonts w:hint="eastAsia" w:ascii="仿宋" w:hAnsi="仿宋" w:cs="仿宋"/>
          <w:lang w:val="en-US" w:eastAsia="zh-CN"/>
        </w:rPr>
        <w:t>将工作背景</w:t>
      </w:r>
      <w:r>
        <w:rPr>
          <w:rFonts w:hint="default" w:ascii="仿宋" w:hAnsi="仿宋" w:eastAsia="仿宋" w:cs="仿宋"/>
          <w:lang w:val="en-US" w:eastAsia="zh-CN"/>
        </w:rPr>
        <w:t>、</w:t>
      </w:r>
      <w:r>
        <w:rPr>
          <w:rFonts w:hint="eastAsia" w:ascii="仿宋" w:hAnsi="仿宋" w:cs="仿宋"/>
          <w:lang w:val="en-US" w:eastAsia="zh-CN"/>
        </w:rPr>
        <w:t>时间地点、工作基本情况、评价结果、评价等级、评价工作中的问题及工作建议</w:t>
      </w:r>
      <w:r>
        <w:rPr>
          <w:rFonts w:hint="default" w:ascii="仿宋" w:hAnsi="仿宋" w:eastAsia="仿宋" w:cs="仿宋"/>
          <w:lang w:val="en-US" w:eastAsia="zh-CN"/>
        </w:rPr>
        <w:t>等形成书面材料，建立项目评价工作档案。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 4、证据收集方法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本项目主要采用查阅相关文件、合同</w:t>
      </w:r>
      <w:r>
        <w:rPr>
          <w:rFonts w:hint="eastAsia" w:ascii="仿宋" w:hAnsi="仿宋" w:cs="仿宋"/>
          <w:lang w:val="en-US" w:eastAsia="zh-CN"/>
        </w:rPr>
        <w:t>、抽</w:t>
      </w:r>
      <w:r>
        <w:rPr>
          <w:rFonts w:hint="default" w:ascii="仿宋" w:hAnsi="仿宋" w:eastAsia="仿宋" w:cs="仿宋"/>
          <w:lang w:val="en-US" w:eastAsia="zh-CN"/>
        </w:rPr>
        <w:t>查会计凭证账表等资料，并通过社会调查等</w:t>
      </w:r>
      <w:r>
        <w:rPr>
          <w:rFonts w:hint="eastAsia" w:ascii="仿宋" w:hAnsi="仿宋" w:cs="仿宋"/>
          <w:lang w:val="en-US" w:eastAsia="zh-CN"/>
        </w:rPr>
        <w:t>掌握</w:t>
      </w:r>
      <w:r>
        <w:rPr>
          <w:rFonts w:hint="default" w:ascii="仿宋" w:hAnsi="仿宋" w:eastAsia="仿宋" w:cs="仿宋"/>
          <w:lang w:val="en-US" w:eastAsia="zh-CN"/>
        </w:rPr>
        <w:t>具体情况，对采集的数据和资料进行</w:t>
      </w:r>
      <w:r>
        <w:rPr>
          <w:rFonts w:hint="eastAsia" w:ascii="仿宋" w:hAnsi="仿宋" w:cs="仿宋"/>
          <w:lang w:val="en-US" w:eastAsia="zh-CN"/>
        </w:rPr>
        <w:t>详</w:t>
      </w:r>
      <w:r>
        <w:rPr>
          <w:rFonts w:hint="default" w:ascii="仿宋" w:hAnsi="仿宋" w:eastAsia="仿宋" w:cs="仿宋"/>
          <w:lang w:val="en-US" w:eastAsia="zh-CN"/>
        </w:rPr>
        <w:t>细的分析和统计。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5、本次绩效评价的局限性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三、</w:t>
      </w:r>
      <w:r>
        <w:rPr>
          <w:rFonts w:hint="default" w:ascii="仿宋" w:hAnsi="仿宋" w:eastAsia="仿宋" w:cs="仿宋"/>
          <w:b/>
          <w:bCs/>
          <w:sz w:val="32"/>
          <w:szCs w:val="32"/>
          <w:lang w:val="en-US" w:eastAsia="zh-CN"/>
        </w:rPr>
        <w:t>绩效评价指标分析情况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分)，根据评价原则，决策评价得分为</w:t>
      </w:r>
      <w:r>
        <w:rPr>
          <w:rFonts w:hint="eastAsia" w:ascii="仿宋" w:hAnsi="仿宋" w:cs="仿宋"/>
          <w:b/>
          <w:bCs/>
          <w:sz w:val="28"/>
          <w:szCs w:val="28"/>
          <w:lang w:val="en-US" w:eastAsia="zh-CN"/>
        </w:rPr>
        <w:t>9</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①项目立项依据充分性，</w:t>
      </w:r>
      <w:r>
        <w:rPr>
          <w:rFonts w:hint="eastAsia" w:ascii="仿宋" w:hAnsi="仿宋" w:eastAsia="仿宋" w:cs="仿宋"/>
          <w:color w:val="000000"/>
          <w:kern w:val="0"/>
          <w:sz w:val="28"/>
          <w:szCs w:val="28"/>
          <w:lang w:val="en-US" w:eastAsia="zh-CN"/>
        </w:rPr>
        <w:t>项目符合国家法律法规、相关政策，</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②项目立项程序规范性，</w:t>
      </w:r>
      <w:r>
        <w:rPr>
          <w:rFonts w:hint="eastAsia" w:ascii="仿宋" w:hAnsi="仿宋" w:eastAsia="仿宋" w:cs="仿宋"/>
          <w:color w:val="000000"/>
          <w:kern w:val="0"/>
          <w:sz w:val="28"/>
          <w:szCs w:val="28"/>
        </w:rPr>
        <w:t>项目申请、设立过程符合相关要求，</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①绩效目标合理性，项目所设定的绩效目标依据充分，符合客观实际，该项目指标得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②绩效指标明确性，依据绩效目标设定的绩效指标清晰、细化、可衡量，该项指标得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资金投入指标得分情况分析（</w:t>
      </w:r>
      <w:r>
        <w:rPr>
          <w:rFonts w:hint="eastAsia" w:ascii="仿宋" w:hAnsi="仿宋" w:cs="仿宋"/>
          <w:b/>
          <w:bCs/>
          <w:sz w:val="28"/>
          <w:szCs w:val="28"/>
          <w:lang w:val="en-US" w:eastAsia="zh-CN"/>
        </w:rPr>
        <w:t>4</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①预算编制科学性，项目预算编制经过科学论证、有明确标准，资金额度与年度目标相适应，该项指标得</w:t>
      </w:r>
      <w:r>
        <w:rPr>
          <w:rFonts w:hint="eastAsia" w:ascii="仿宋" w:hAnsi="仿宋" w:cs="仿宋"/>
          <w:sz w:val="28"/>
          <w:szCs w:val="28"/>
          <w:lang w:val="en-US" w:eastAsia="zh-CN"/>
        </w:rPr>
        <w:t>1</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②资金分配合理性，</w:t>
      </w:r>
      <w:r>
        <w:rPr>
          <w:rFonts w:hint="eastAsia" w:ascii="仿宋" w:hAnsi="仿宋" w:eastAsia="仿宋" w:cs="仿宋"/>
          <w:color w:val="000000"/>
          <w:kern w:val="0"/>
          <w:sz w:val="28"/>
          <w:szCs w:val="28"/>
        </w:rPr>
        <w:t>项目预算资金分配有测算依据</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预算编制资金额度，支出方向基本与年度目标相符，资金分配有测算依据，但执行过程中有偏差。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分)，根据评价原则，产出评价得分为</w:t>
      </w:r>
      <w:r>
        <w:rPr>
          <w:rFonts w:hint="eastAsia" w:ascii="仿宋" w:hAnsi="仿宋" w:cs="仿宋"/>
          <w:b/>
          <w:bCs/>
          <w:sz w:val="28"/>
          <w:szCs w:val="28"/>
          <w:lang w:val="en-US" w:eastAsia="zh-CN"/>
        </w:rPr>
        <w:t>8</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资金管理指标得分情况分析（</w:t>
      </w:r>
      <w:r>
        <w:rPr>
          <w:rFonts w:hint="eastAsia" w:ascii="仿宋" w:hAnsi="仿宋" w:cs="仿宋"/>
          <w:b/>
          <w:bCs/>
          <w:sz w:val="28"/>
          <w:szCs w:val="28"/>
          <w:lang w:val="en-US" w:eastAsia="zh-CN"/>
        </w:rPr>
        <w:t>6</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①资金到位率，市财政安排</w:t>
      </w:r>
      <w:r>
        <w:rPr>
          <w:rFonts w:hint="eastAsia" w:ascii="仿宋" w:hAnsi="仿宋" w:cs="仿宋"/>
          <w:b w:val="0"/>
          <w:bCs w:val="0"/>
          <w:sz w:val="28"/>
          <w:szCs w:val="28"/>
          <w:lang w:val="en-US" w:eastAsia="zh-CN"/>
        </w:rPr>
        <w:t>项目</w:t>
      </w:r>
      <w:r>
        <w:rPr>
          <w:rFonts w:hint="eastAsia" w:ascii="仿宋" w:hAnsi="仿宋" w:eastAsia="仿宋" w:cs="仿宋"/>
          <w:b w:val="0"/>
          <w:bCs w:val="0"/>
          <w:sz w:val="28"/>
          <w:szCs w:val="28"/>
          <w:lang w:val="en-US" w:eastAsia="zh-CN"/>
        </w:rPr>
        <w:t>资金</w:t>
      </w:r>
      <w:r>
        <w:rPr>
          <w:rFonts w:hint="eastAsia" w:ascii="仿宋" w:hAnsi="仿宋" w:cs="仿宋"/>
          <w:b w:val="0"/>
          <w:bCs w:val="0"/>
          <w:sz w:val="28"/>
          <w:szCs w:val="28"/>
          <w:lang w:val="en-US" w:eastAsia="zh-CN"/>
        </w:rPr>
        <w:t>21.26</w:t>
      </w:r>
      <w:r>
        <w:rPr>
          <w:rFonts w:hint="eastAsia"/>
          <w:lang w:val="en-US" w:eastAsia="zh-CN"/>
        </w:rPr>
        <w:t>万元，</w:t>
      </w:r>
      <w:r>
        <w:rPr>
          <w:rFonts w:hint="eastAsia" w:ascii="仿宋" w:hAnsi="仿宋" w:eastAsia="仿宋" w:cs="仿宋"/>
          <w:b w:val="0"/>
          <w:bCs w:val="0"/>
          <w:sz w:val="28"/>
          <w:szCs w:val="28"/>
          <w:lang w:val="en-US" w:eastAsia="zh-CN"/>
        </w:rPr>
        <w:t>资金到位率100%，该项指标得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②预算执行率，</w:t>
      </w:r>
      <w:r>
        <w:rPr>
          <w:rFonts w:hint="eastAsia" w:ascii="仿宋" w:hAnsi="仿宋" w:cs="仿宋"/>
          <w:b w:val="0"/>
          <w:bCs w:val="0"/>
          <w:sz w:val="28"/>
          <w:szCs w:val="28"/>
          <w:lang w:val="en-US" w:eastAsia="zh-CN"/>
        </w:rPr>
        <w:t>截至2021年12月，该项目支出资金0万元，</w:t>
      </w:r>
      <w:r>
        <w:rPr>
          <w:rFonts w:hint="eastAsia" w:ascii="仿宋" w:hAnsi="仿宋" w:eastAsia="仿宋" w:cs="仿宋"/>
          <w:b w:val="0"/>
          <w:bCs w:val="0"/>
          <w:sz w:val="28"/>
          <w:szCs w:val="28"/>
          <w:lang w:val="en-US" w:eastAsia="zh-CN"/>
        </w:rPr>
        <w:t>预算执行率</w:t>
      </w:r>
      <w:r>
        <w:rPr>
          <w:rFonts w:hint="eastAsia" w:ascii="仿宋" w:hAnsi="仿宋" w:cs="仿宋"/>
          <w:b w:val="0"/>
          <w:bCs w:val="0"/>
          <w:sz w:val="28"/>
          <w:szCs w:val="28"/>
          <w:lang w:val="en-US" w:eastAsia="zh-CN"/>
        </w:rPr>
        <w:t>0</w:t>
      </w:r>
      <w:r>
        <w:rPr>
          <w:rFonts w:hint="eastAsia" w:ascii="仿宋" w:hAnsi="仿宋" w:eastAsia="仿宋" w:cs="仿宋"/>
          <w:b w:val="0"/>
          <w:bCs w:val="0"/>
          <w:sz w:val="28"/>
          <w:szCs w:val="28"/>
          <w:lang w:val="en-US" w:eastAsia="zh-CN"/>
        </w:rPr>
        <w:t>%，该项指标得</w:t>
      </w:r>
      <w:r>
        <w:rPr>
          <w:rFonts w:hint="eastAsia" w:ascii="仿宋" w:hAnsi="仿宋" w:cs="仿宋"/>
          <w:b w:val="0"/>
          <w:bCs w:val="0"/>
          <w:sz w:val="28"/>
          <w:szCs w:val="28"/>
          <w:lang w:val="en-US" w:eastAsia="zh-CN"/>
        </w:rPr>
        <w:t>0</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③资金使用合规性，</w:t>
      </w:r>
      <w:r>
        <w:rPr>
          <w:rFonts w:hint="eastAsia" w:ascii="仿宋" w:hAnsi="仿宋" w:eastAsia="仿宋" w:cs="仿宋"/>
          <w:color w:val="000000"/>
          <w:kern w:val="0"/>
          <w:sz w:val="28"/>
          <w:szCs w:val="28"/>
        </w:rPr>
        <w:t>项目资金使用符合相关的财务管理制度规定</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该项指标得2分。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组织实施指标得分情况分析 (4分)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①管理制度健全性，</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制订了《南昌市</w:t>
      </w:r>
      <w:r>
        <w:rPr>
          <w:rFonts w:hint="eastAsia" w:ascii="仿宋" w:hAnsi="仿宋" w:cs="仿宋"/>
          <w:color w:val="000000"/>
          <w:kern w:val="0"/>
          <w:sz w:val="28"/>
          <w:szCs w:val="28"/>
          <w:lang w:val="en-US" w:eastAsia="zh-CN"/>
        </w:rPr>
        <w:t>自然资源和规划事务服务</w:t>
      </w:r>
      <w:r>
        <w:rPr>
          <w:rFonts w:hint="eastAsia" w:ascii="仿宋" w:hAnsi="仿宋" w:eastAsia="仿宋" w:cs="仿宋"/>
          <w:color w:val="000000"/>
          <w:kern w:val="0"/>
          <w:sz w:val="28"/>
          <w:szCs w:val="28"/>
          <w:lang w:val="en-US" w:eastAsia="zh-CN"/>
        </w:rPr>
        <w:t>中心</w:t>
      </w:r>
      <w:r>
        <w:rPr>
          <w:rFonts w:hint="eastAsia" w:ascii="仿宋" w:hAnsi="仿宋" w:cs="仿宋"/>
          <w:color w:val="000000"/>
          <w:kern w:val="0"/>
          <w:sz w:val="28"/>
          <w:szCs w:val="28"/>
          <w:lang w:val="en-US" w:eastAsia="zh-CN"/>
        </w:rPr>
        <w:t>财务制度</w:t>
      </w:r>
      <w:r>
        <w:rPr>
          <w:rFonts w:hint="eastAsia" w:ascii="仿宋" w:hAnsi="仿宋" w:eastAsia="仿宋" w:cs="仿宋"/>
          <w:color w:val="000000"/>
          <w:kern w:val="0"/>
          <w:sz w:val="28"/>
          <w:szCs w:val="28"/>
          <w:lang w:val="en-US" w:eastAsia="zh-CN"/>
        </w:rPr>
        <w:t>》等</w:t>
      </w:r>
      <w:r>
        <w:rPr>
          <w:rFonts w:hint="eastAsia" w:ascii="仿宋" w:hAnsi="仿宋" w:eastAsia="仿宋" w:cs="仿宋"/>
          <w:color w:val="000000"/>
          <w:kern w:val="0"/>
          <w:sz w:val="28"/>
          <w:szCs w:val="28"/>
        </w:rPr>
        <w:t>财务和业务管理制度</w:t>
      </w:r>
      <w:r>
        <w:rPr>
          <w:rFonts w:hint="eastAsia" w:ascii="仿宋" w:hAnsi="仿宋" w:eastAsia="仿宋" w:cs="仿宋"/>
          <w:color w:val="000000"/>
          <w:kern w:val="0"/>
          <w:sz w:val="28"/>
          <w:szCs w:val="28"/>
          <w:lang w:val="en-US" w:eastAsia="zh-CN"/>
        </w:rPr>
        <w:t>并依照执行</w:t>
      </w:r>
      <w:r>
        <w:rPr>
          <w:rFonts w:hint="eastAsia" w:ascii="仿宋" w:hAnsi="仿宋" w:eastAsia="仿宋" w:cs="仿宋"/>
          <w:color w:val="000000"/>
          <w:kern w:val="0"/>
          <w:sz w:val="28"/>
          <w:szCs w:val="28"/>
          <w:lang w:eastAsia="zh-CN"/>
        </w:rPr>
        <w:t>，</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②制度执行有效性，</w:t>
      </w:r>
      <w:r>
        <w:rPr>
          <w:rFonts w:hint="eastAsia" w:ascii="仿宋" w:hAnsi="仿宋" w:eastAsia="仿宋" w:cs="仿宋"/>
          <w:color w:val="000000"/>
          <w:kern w:val="0"/>
          <w:sz w:val="28"/>
          <w:szCs w:val="28"/>
        </w:rPr>
        <w:t>项目实施</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资金支付程序均</w:t>
      </w:r>
      <w:r>
        <w:rPr>
          <w:rFonts w:hint="eastAsia" w:ascii="仿宋" w:hAnsi="仿宋" w:eastAsia="仿宋" w:cs="仿宋"/>
          <w:color w:val="000000"/>
          <w:kern w:val="0"/>
          <w:sz w:val="28"/>
          <w:szCs w:val="28"/>
        </w:rPr>
        <w:t>符合相关管理规定，</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(三)项目产出指标(</w:t>
      </w:r>
      <w:r>
        <w:rPr>
          <w:rFonts w:hint="eastAsia" w:ascii="仿宋" w:hAnsi="仿宋" w:cs="仿宋"/>
          <w:b/>
          <w:bCs/>
          <w:lang w:val="en-US" w:eastAsia="zh-CN"/>
        </w:rPr>
        <w:t>3</w:t>
      </w:r>
      <w:r>
        <w:rPr>
          <w:rFonts w:hint="default" w:ascii="仿宋" w:hAnsi="仿宋" w:eastAsia="仿宋" w:cs="仿宋"/>
          <w:b/>
          <w:bCs/>
          <w:lang w:val="en-US" w:eastAsia="zh-CN"/>
        </w:rPr>
        <w:t>0分)，根据评价原则，产出评价得分为</w:t>
      </w:r>
      <w:r>
        <w:rPr>
          <w:rFonts w:hint="eastAsia" w:ascii="仿宋" w:hAnsi="仿宋" w:cs="仿宋"/>
          <w:b/>
          <w:bCs/>
          <w:lang w:val="en-US" w:eastAsia="zh-CN"/>
        </w:rPr>
        <w:t>29</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1、产出数量情况( </w:t>
      </w:r>
      <w:r>
        <w:rPr>
          <w:rFonts w:hint="eastAsia" w:ascii="仿宋" w:hAnsi="仿宋" w:cs="仿宋"/>
          <w:b/>
          <w:bCs/>
          <w:lang w:val="en-US" w:eastAsia="zh-CN"/>
        </w:rPr>
        <w:t>10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该指标评价得分为</w:t>
      </w:r>
      <w:r>
        <w:rPr>
          <w:rFonts w:hint="eastAsia" w:ascii="仿宋" w:hAnsi="仿宋" w:cs="仿宋"/>
          <w:b/>
          <w:bCs/>
          <w:lang w:val="en-US" w:eastAsia="zh-CN"/>
        </w:rPr>
        <w:t>9</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耕地保有率≥95%。</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9</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2、</w:t>
      </w:r>
      <w:r>
        <w:rPr>
          <w:rFonts w:hint="default" w:ascii="仿宋" w:hAnsi="仿宋" w:eastAsia="仿宋" w:cs="仿宋"/>
          <w:b/>
          <w:bCs/>
          <w:lang w:val="en-US" w:eastAsia="zh-CN"/>
        </w:rPr>
        <w:t>产出质量情况( 1</w:t>
      </w:r>
      <w:r>
        <w:rPr>
          <w:rFonts w:hint="eastAsia" w:ascii="仿宋" w:hAnsi="仿宋" w:cs="仿宋"/>
          <w:b/>
          <w:bCs/>
          <w:lang w:val="en-US" w:eastAsia="zh-CN"/>
        </w:rPr>
        <w:t>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w:t>
      </w:r>
      <w:r>
        <w:rPr>
          <w:rFonts w:hint="eastAsia" w:ascii="仿宋" w:hAnsi="仿宋" w:cs="仿宋"/>
          <w:b/>
          <w:bCs/>
          <w:lang w:val="en-US" w:eastAsia="zh-CN"/>
        </w:rPr>
        <w:t>价</w:t>
      </w:r>
      <w:r>
        <w:rPr>
          <w:rFonts w:hint="default" w:ascii="仿宋" w:hAnsi="仿宋" w:eastAsia="仿宋" w:cs="仿宋"/>
          <w:b/>
          <w:bCs/>
          <w:lang w:val="en-US" w:eastAsia="zh-CN"/>
        </w:rPr>
        <w:t>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eastAsia" w:ascii="仿宋" w:hAnsi="仿宋" w:cs="仿宋"/>
          <w:b w:val="0"/>
          <w:bCs w:val="0"/>
          <w:lang w:val="en-US" w:eastAsia="zh-CN"/>
        </w:rPr>
        <w:t>耕地质量等级核查率100%。</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3、产出时效情况(</w:t>
      </w:r>
      <w:r>
        <w:rPr>
          <w:rFonts w:hint="eastAsia" w:ascii="仿宋" w:hAnsi="仿宋" w:cs="仿宋"/>
          <w:b/>
          <w:bCs/>
          <w:lang w:val="en-US" w:eastAsia="zh-CN"/>
        </w:rPr>
        <w:t>10</w:t>
      </w:r>
      <w:r>
        <w:rPr>
          <w:rFonts w:hint="default" w:ascii="仿宋" w:hAnsi="仿宋" w:eastAsia="仿宋" w:cs="仿宋"/>
          <w:b/>
          <w:bCs/>
          <w:lang w:val="en-US" w:eastAsia="zh-CN"/>
        </w:rPr>
        <w:t>分)，该项指标得</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截至</w:t>
      </w: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w:t>
      </w:r>
      <w:r>
        <w:rPr>
          <w:rFonts w:hint="eastAsia" w:ascii="仿宋" w:hAnsi="仿宋" w:cs="仿宋"/>
          <w:b w:val="0"/>
          <w:bCs w:val="0"/>
          <w:lang w:val="en-US" w:eastAsia="zh-CN"/>
        </w:rPr>
        <w:t>12月10日，外业及时完成率95%。</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4、产出成本情况(</w:t>
      </w:r>
      <w:r>
        <w:rPr>
          <w:rFonts w:hint="eastAsia" w:ascii="仿宋" w:hAnsi="仿宋" w:cs="仿宋"/>
          <w:b/>
          <w:bCs/>
          <w:lang w:val="en-US" w:eastAsia="zh-CN"/>
        </w:rPr>
        <w:t>10</w:t>
      </w:r>
      <w:r>
        <w:rPr>
          <w:rFonts w:hint="default" w:ascii="仿宋" w:hAnsi="仿宋" w:eastAsia="仿宋" w:cs="仿宋"/>
          <w:b/>
          <w:bCs/>
          <w:lang w:val="en-US" w:eastAsia="zh-CN"/>
        </w:rPr>
        <w:t>分)，该项指标评价得分为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该项目实际支出</w:t>
      </w:r>
      <w:r>
        <w:rPr>
          <w:rFonts w:hint="eastAsia" w:ascii="仿宋" w:hAnsi="仿宋" w:cs="仿宋"/>
          <w:b w:val="0"/>
          <w:bCs w:val="0"/>
          <w:lang w:val="en-US" w:eastAsia="zh-CN"/>
        </w:rPr>
        <w:t>21.26</w:t>
      </w:r>
      <w:r>
        <w:rPr>
          <w:rFonts w:hint="default" w:ascii="仿宋" w:hAnsi="仿宋" w:eastAsia="仿宋" w:cs="仿宋"/>
          <w:b w:val="0"/>
          <w:bCs w:val="0"/>
          <w:lang w:val="en-US" w:eastAsia="zh-CN"/>
        </w:rPr>
        <w:t>万元，在预算安排资金</w:t>
      </w:r>
      <w:r>
        <w:rPr>
          <w:rFonts w:hint="eastAsia" w:ascii="仿宋" w:hAnsi="仿宋" w:cs="仿宋"/>
          <w:b w:val="0"/>
          <w:bCs w:val="0"/>
          <w:lang w:val="en-US" w:eastAsia="zh-CN"/>
        </w:rPr>
        <w:t>21.26</w:t>
      </w:r>
      <w:r>
        <w:rPr>
          <w:rFonts w:hint="default" w:ascii="仿宋" w:hAnsi="仿宋" w:eastAsia="仿宋" w:cs="仿宋"/>
          <w:b w:val="0"/>
          <w:bCs w:val="0"/>
          <w:lang w:val="en-US" w:eastAsia="zh-CN"/>
        </w:rPr>
        <w:t>万元范围内</w:t>
      </w:r>
      <w:r>
        <w:rPr>
          <w:rFonts w:hint="eastAsia" w:ascii="仿宋" w:hAnsi="仿宋" w:cs="仿宋"/>
          <w:b w:val="0"/>
          <w:bCs w:val="0"/>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(四)项目效果指标(</w:t>
      </w:r>
      <w:r>
        <w:rPr>
          <w:rFonts w:hint="eastAsia" w:ascii="仿宋" w:hAnsi="仿宋" w:cs="仿宋"/>
          <w:b/>
          <w:bCs/>
          <w:lang w:val="en-US" w:eastAsia="zh-CN"/>
        </w:rPr>
        <w:t>30</w:t>
      </w:r>
      <w:r>
        <w:rPr>
          <w:rFonts w:hint="default" w:ascii="仿宋" w:hAnsi="仿宋" w:eastAsia="仿宋" w:cs="仿宋"/>
          <w:b/>
          <w:bCs/>
          <w:lang w:val="en-US" w:eastAsia="zh-CN"/>
        </w:rPr>
        <w:t>分)，根据评价原则，效益评价得分为</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1、社会效益(</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收益农村覆盖率100%，因机构改革，职能逐渐萎缩。</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2、生态效益</w:t>
      </w:r>
      <w:r>
        <w:rPr>
          <w:rFonts w:hint="default" w:ascii="仿宋" w:hAnsi="仿宋" w:eastAsia="仿宋" w:cs="仿宋"/>
          <w:b/>
          <w:bCs/>
          <w:lang w:val="en-US" w:eastAsia="zh-CN"/>
        </w:rPr>
        <w:t>(</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default" w:ascii="仿宋" w:hAnsi="仿宋" w:cs="仿宋"/>
          <w:b w:val="0"/>
          <w:bCs w:val="0"/>
          <w:lang w:val="en-US" w:eastAsia="zh-CN"/>
        </w:rPr>
        <w:t>完成踏勘巡查覆盖率</w:t>
      </w:r>
      <w:r>
        <w:rPr>
          <w:rFonts w:hint="eastAsia" w:ascii="仿宋" w:hAnsi="仿宋" w:cs="仿宋"/>
          <w:b w:val="0"/>
          <w:bCs w:val="0"/>
          <w:lang w:val="en-US" w:eastAsia="zh-CN"/>
        </w:rPr>
        <w:t>100%，因机构改革，职能逐渐萎缩。根据评分标</w:t>
      </w:r>
      <w:r>
        <w:rPr>
          <w:rFonts w:hint="default" w:ascii="仿宋" w:hAnsi="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3、</w:t>
      </w:r>
      <w:r>
        <w:rPr>
          <w:rFonts w:hint="default" w:ascii="仿宋" w:hAnsi="仿宋" w:eastAsia="仿宋" w:cs="仿宋"/>
          <w:b/>
          <w:bCs/>
          <w:highlight w:val="none"/>
          <w:lang w:val="en-US" w:eastAsia="zh-CN"/>
        </w:rPr>
        <w:t>可持续影响(</w:t>
      </w:r>
      <w:r>
        <w:rPr>
          <w:rFonts w:hint="eastAsia" w:ascii="仿宋" w:hAnsi="仿宋" w:cs="仿宋"/>
          <w:b/>
          <w:bCs/>
          <w:highlight w:val="none"/>
          <w:lang w:val="en-US" w:eastAsia="zh-CN"/>
        </w:rPr>
        <w:t>10</w:t>
      </w:r>
      <w:r>
        <w:rPr>
          <w:rFonts w:hint="default" w:ascii="仿宋" w:hAnsi="仿宋" w:eastAsia="仿宋" w:cs="仿宋"/>
          <w:b/>
          <w:bCs/>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 xml:space="preserve"> </w:t>
      </w:r>
      <w:r>
        <w:rPr>
          <w:rFonts w:hint="eastAsia" w:ascii="仿宋" w:hAnsi="仿宋" w:cs="仿宋"/>
          <w:b/>
          <w:bCs/>
          <w:sz w:val="28"/>
          <w:szCs w:val="28"/>
          <w:highlight w:val="none"/>
          <w:lang w:val="en-US" w:eastAsia="zh-CN"/>
        </w:rPr>
        <w:t xml:space="preserve"> </w:t>
      </w:r>
      <w:r>
        <w:rPr>
          <w:rFonts w:hint="eastAsia" w:ascii="仿宋" w:hAnsi="仿宋" w:cs="仿宋"/>
          <w:b w:val="0"/>
          <w:bCs w:val="0"/>
          <w:sz w:val="28"/>
          <w:szCs w:val="28"/>
          <w:highlight w:val="none"/>
          <w:lang w:val="en-US" w:eastAsia="zh-CN"/>
        </w:rPr>
        <w:t xml:space="preserve">  实现土地长期合理使用</w:t>
      </w:r>
      <w:r>
        <w:rPr>
          <w:rFonts w:hint="eastAsia" w:ascii="仿宋" w:hAnsi="仿宋" w:cs="仿宋"/>
          <w:color w:val="000000"/>
          <w:kern w:val="0"/>
          <w:sz w:val="28"/>
          <w:szCs w:val="28"/>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(五)项目满意度(</w:t>
      </w:r>
      <w:r>
        <w:rPr>
          <w:rFonts w:hint="eastAsia" w:ascii="仿宋" w:hAnsi="仿宋" w:cs="仿宋"/>
          <w:b/>
          <w:bCs/>
          <w:lang w:val="en-US" w:eastAsia="zh-CN"/>
        </w:rPr>
        <w:t>10</w:t>
      </w:r>
      <w:r>
        <w:rPr>
          <w:rFonts w:hint="default" w:ascii="仿宋" w:hAnsi="仿宋" w:eastAsia="仿宋" w:cs="仿宋"/>
          <w:b/>
          <w:bCs/>
          <w:lang w:val="en-US" w:eastAsia="zh-CN"/>
        </w:rPr>
        <w:t>分)，根据评价原则，满意度评价得分为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通过本单位发放的调查问卷结果显示，</w:t>
      </w:r>
      <w:r>
        <w:rPr>
          <w:rFonts w:hint="eastAsia" w:ascii="仿宋" w:hAnsi="仿宋" w:cs="仿宋"/>
          <w:b w:val="0"/>
          <w:bCs w:val="0"/>
          <w:lang w:val="en-US" w:eastAsia="zh-CN"/>
        </w:rPr>
        <w:t>工作</w:t>
      </w:r>
      <w:r>
        <w:rPr>
          <w:rFonts w:hint="eastAsia" w:ascii="仿宋" w:hAnsi="仿宋" w:eastAsia="仿宋"/>
          <w:color w:val="000000"/>
          <w:kern w:val="0"/>
          <w:sz w:val="28"/>
          <w:szCs w:val="28"/>
        </w:rPr>
        <w:t>人员及办事群众的满意度</w:t>
      </w:r>
      <w:r>
        <w:rPr>
          <w:rFonts w:hint="eastAsia" w:ascii="仿宋" w:hAnsi="仿宋"/>
          <w:color w:val="000000"/>
          <w:kern w:val="0"/>
          <w:sz w:val="28"/>
          <w:szCs w:val="28"/>
          <w:lang w:val="en-US" w:eastAsia="zh-CN"/>
        </w:rPr>
        <w:t>≥95%</w:t>
      </w: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年度</w:t>
      </w:r>
      <w:r>
        <w:rPr>
          <w:rFonts w:hint="eastAsia"/>
          <w:lang w:val="en-US" w:eastAsia="zh-CN"/>
        </w:rPr>
        <w:t>实施农村土地整治示范建设</w:t>
      </w:r>
      <w:r>
        <w:rPr>
          <w:rFonts w:hint="default" w:ascii="仿宋" w:hAnsi="仿宋" w:eastAsia="仿宋" w:cs="仿宋"/>
          <w:b w:val="0"/>
          <w:bCs w:val="0"/>
          <w:lang w:val="en-US" w:eastAsia="zh-CN"/>
        </w:rPr>
        <w:t>项目,目标明确，项目符合申报条件，从资金落实执行情况、项目业务管理、财务管理、项目产出数量、质量、时效、成本、项目社会效益、可持续影响、群众满意度等方面很好的执行了有关政策制度。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该项目围绕绩效评价指标体系，通过数据采集及综合分析等方式，对本项目绩效进行了客观、公正的评价，最终评价得分为</w:t>
      </w:r>
      <w:r>
        <w:rPr>
          <w:rFonts w:hint="eastAsia" w:ascii="仿宋" w:hAnsi="仿宋" w:cs="仿宋"/>
          <w:b w:val="0"/>
          <w:bCs w:val="0"/>
          <w:lang w:val="en-US" w:eastAsia="zh-CN"/>
        </w:rPr>
        <w:t>95</w:t>
      </w:r>
      <w:r>
        <w:rPr>
          <w:rFonts w:hint="default" w:ascii="仿宋" w:hAnsi="仿宋" w:eastAsia="仿宋" w:cs="仿宋"/>
          <w:b w:val="0"/>
          <w:bCs w:val="0"/>
          <w:lang w:val="en-US" w:eastAsia="zh-CN"/>
        </w:rPr>
        <w:t>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五、绩效评价结果应用建议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六、项目实施经验、做法、存在的问题和改进措施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eastAsia" w:ascii="仿宋" w:hAnsi="仿宋" w:cs="仿宋"/>
          <w:b/>
          <w:bCs/>
          <w:lang w:val="en-US" w:eastAsia="zh-CN"/>
        </w:rPr>
        <w:t>（一）</w:t>
      </w:r>
      <w:r>
        <w:rPr>
          <w:rFonts w:hint="default" w:ascii="仿宋" w:hAnsi="仿宋" w:eastAsia="仿宋" w:cs="仿宋"/>
          <w:b/>
          <w:bCs/>
          <w:lang w:val="en-US" w:eastAsia="zh-CN"/>
        </w:rPr>
        <w:t>主要经验及做法:</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1、切实加强领导，安排</w:t>
      </w:r>
      <w:r>
        <w:rPr>
          <w:rFonts w:hint="eastAsia" w:ascii="仿宋" w:hAnsi="仿宋" w:cstheme="minorBidi"/>
          <w:sz w:val="28"/>
          <w:szCs w:val="28"/>
          <w:lang w:val="en-US" w:eastAsia="zh-CN"/>
        </w:rPr>
        <w:t>原土地开发整理中心</w:t>
      </w:r>
      <w:r>
        <w:rPr>
          <w:rFonts w:hint="eastAsia" w:ascii="仿宋" w:hAnsi="仿宋" w:eastAsia="仿宋" w:cstheme="minorBidi"/>
          <w:sz w:val="28"/>
          <w:szCs w:val="28"/>
        </w:rPr>
        <w:t>专业人员负责本项目管理</w:t>
      </w:r>
      <w:r>
        <w:rPr>
          <w:rFonts w:hint="eastAsia" w:ascii="仿宋" w:hAnsi="仿宋" w:eastAsia="仿宋" w:cstheme="minorBidi"/>
          <w:sz w:val="28"/>
          <w:szCs w:val="28"/>
          <w:lang w:val="en-US" w:eastAsia="zh-CN"/>
        </w:rPr>
        <w:t>监督</w:t>
      </w:r>
      <w:r>
        <w:rPr>
          <w:rFonts w:hint="eastAsia" w:ascii="仿宋" w:hAnsi="仿宋" w:eastAsia="仿宋" w:cstheme="minorBidi"/>
          <w:sz w:val="28"/>
          <w:szCs w:val="28"/>
        </w:rPr>
        <w:t>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2、依据技术标准规范，明确工作任务对象、条件、要求，扎扎实实开展工作。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3、按规定进行招投标，与财政部门协调，按照项目完成进度拨付资金，保证项目资金落到实处。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520" w:lineRule="exact"/>
        <w:ind w:leftChars="0" w:firstLine="600" w:firstLineChars="200"/>
        <w:textAlignment w:val="auto"/>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受疫情和事业单位机构改革影响，2021年中心部分职能弱化，导致项目进展缓慢，项目经费开支较少。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(三)改进措施:</w:t>
      </w:r>
    </w:p>
    <w:p>
      <w:pPr>
        <w:pageBreakBefore w:val="0"/>
        <w:kinsoku/>
        <w:wordWrap/>
        <w:overflowPunct/>
        <w:topLinePunct w:val="0"/>
        <w:autoSpaceDE/>
        <w:autoSpaceDN/>
        <w:bidi w:val="0"/>
        <w:adjustRightInd/>
        <w:snapToGrid/>
        <w:spacing w:line="520" w:lineRule="exact"/>
        <w:ind w:leftChars="0" w:firstLine="600" w:firstLineChars="200"/>
        <w:textAlignment w:val="auto"/>
        <w:rPr>
          <w:rFonts w:ascii="仿宋" w:hAnsi="仿宋" w:eastAsia="仿宋"/>
          <w:sz w:val="30"/>
          <w:szCs w:val="30"/>
        </w:rPr>
      </w:pPr>
      <w:r>
        <w:rPr>
          <w:rFonts w:hint="eastAsia" w:ascii="仿宋" w:hAnsi="仿宋" w:eastAsia="仿宋"/>
          <w:sz w:val="30"/>
          <w:szCs w:val="30"/>
        </w:rPr>
        <w:t>针对预算内项目经费执行偏差问题，中心将未完成预计支付的资金用于</w:t>
      </w:r>
      <w:r>
        <w:rPr>
          <w:rFonts w:hint="eastAsia" w:ascii="仿宋" w:hAnsi="仿宋"/>
          <w:sz w:val="30"/>
          <w:szCs w:val="30"/>
          <w:lang w:val="en-US" w:eastAsia="zh-CN"/>
        </w:rPr>
        <w:t>中心</w:t>
      </w:r>
      <w:r>
        <w:rPr>
          <w:rFonts w:hint="eastAsia" w:ascii="仿宋" w:hAnsi="仿宋" w:eastAsia="仿宋"/>
          <w:sz w:val="30"/>
          <w:szCs w:val="30"/>
        </w:rPr>
        <w:t>其它支出，做到预算资金收支总体平衡。在今后的预算编制时中心将尽可能提高预算编制和预算执行的契合度，提高预算编制的科学性和合理性。</w:t>
      </w:r>
    </w:p>
    <w:p>
      <w:pPr>
        <w:spacing w:line="240" w:lineRule="auto"/>
        <w:ind w:left="0" w:leftChars="0" w:firstLine="0" w:firstLineChars="0"/>
        <w:jc w:val="left"/>
        <w:rPr>
          <w:rFonts w:hint="default" w:ascii="仿宋" w:hAnsi="仿宋" w:eastAsia="仿宋"/>
          <w:b/>
          <w:szCs w:val="28"/>
          <w:lang w:val="en-US" w:eastAsia="zh-CN"/>
        </w:rPr>
      </w:pPr>
    </w:p>
    <w:sectPr>
      <w:headerReference r:id="rId5" w:type="default"/>
      <w:footerReference r:id="rId6" w:type="default"/>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I</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hint="default" w:eastAsia="仿宋"/>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A68AD"/>
    <w:multiLevelType w:val="singleLevel"/>
    <w:tmpl w:val="A87A68AD"/>
    <w:lvl w:ilvl="0" w:tentative="0">
      <w:start w:val="2"/>
      <w:numFmt w:val="decimal"/>
      <w:suff w:val="nothing"/>
      <w:lvlText w:val="%1、"/>
      <w:lvlJc w:val="left"/>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4162F27F"/>
    <w:multiLevelType w:val="singleLevel"/>
    <w:tmpl w:val="4162F27F"/>
    <w:lvl w:ilvl="0" w:tentative="0">
      <w:start w:val="1"/>
      <w:numFmt w:val="decimal"/>
      <w:suff w:val="nothing"/>
      <w:lvlText w:val="（%1）"/>
      <w:lvlJc w:val="left"/>
    </w:lvl>
  </w:abstractNum>
  <w:abstractNum w:abstractNumId="5">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YyNjUyNzZhNDdmZGJmN2RiMDUxMTM4MTQ4MzMifQ=="/>
  </w:docVars>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7172A35"/>
    <w:rsid w:val="0A6B7438"/>
    <w:rsid w:val="0A9D6D66"/>
    <w:rsid w:val="0B682FFA"/>
    <w:rsid w:val="0F2C6CAE"/>
    <w:rsid w:val="15443624"/>
    <w:rsid w:val="1B2711E1"/>
    <w:rsid w:val="1DD9160F"/>
    <w:rsid w:val="24262E5F"/>
    <w:rsid w:val="28BA51E4"/>
    <w:rsid w:val="28C83E98"/>
    <w:rsid w:val="349404DE"/>
    <w:rsid w:val="36ED571B"/>
    <w:rsid w:val="3D7954BD"/>
    <w:rsid w:val="3F077045"/>
    <w:rsid w:val="40B64AE3"/>
    <w:rsid w:val="46A77CFB"/>
    <w:rsid w:val="47293E9B"/>
    <w:rsid w:val="48954A50"/>
    <w:rsid w:val="4A4344B8"/>
    <w:rsid w:val="4C860C9B"/>
    <w:rsid w:val="50193F22"/>
    <w:rsid w:val="51513A3C"/>
    <w:rsid w:val="519F095F"/>
    <w:rsid w:val="52B42AE0"/>
    <w:rsid w:val="5498002B"/>
    <w:rsid w:val="54F713A8"/>
    <w:rsid w:val="55117EDD"/>
    <w:rsid w:val="578649A8"/>
    <w:rsid w:val="5B0B37F5"/>
    <w:rsid w:val="5B2333FD"/>
    <w:rsid w:val="5B6A2025"/>
    <w:rsid w:val="5EB05EA3"/>
    <w:rsid w:val="610B1EF8"/>
    <w:rsid w:val="61BC7BC5"/>
    <w:rsid w:val="61CB7FEE"/>
    <w:rsid w:val="626A5271"/>
    <w:rsid w:val="69FE63D9"/>
    <w:rsid w:val="6A456B0F"/>
    <w:rsid w:val="7369434C"/>
    <w:rsid w:val="79FF3ABA"/>
    <w:rsid w:val="7A960DDC"/>
    <w:rsid w:val="7D2B04CE"/>
    <w:rsid w:val="7EBA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4">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5">
    <w:name w:val="heading 2"/>
    <w:basedOn w:val="1"/>
    <w:next w:val="1"/>
    <w:link w:val="17"/>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6">
    <w:name w:val="heading 3"/>
    <w:basedOn w:val="1"/>
    <w:next w:val="1"/>
    <w:unhideWhenUsed/>
    <w:qFormat/>
    <w:uiPriority w:val="9"/>
    <w:pPr>
      <w:keepNext/>
      <w:keepLines/>
      <w:outlineLvl w:val="2"/>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7">
    <w:name w:val="toc 3"/>
    <w:basedOn w:val="1"/>
    <w:next w:val="1"/>
    <w:unhideWhenUsed/>
    <w:qFormat/>
    <w:uiPriority w:val="39"/>
    <w:pPr>
      <w:tabs>
        <w:tab w:val="left" w:pos="1823"/>
        <w:tab w:val="right" w:leader="dot" w:pos="8630"/>
      </w:tabs>
      <w:ind w:left="1120" w:leftChars="400"/>
    </w:pPr>
  </w:style>
  <w:style w:type="paragraph" w:styleId="8">
    <w:name w:val="Balloon Text"/>
    <w:basedOn w:val="1"/>
    <w:link w:val="22"/>
    <w:semiHidden/>
    <w:unhideWhenUsed/>
    <w:qFormat/>
    <w:uiPriority w:val="99"/>
    <w:pPr>
      <w:spacing w:line="240" w:lineRule="auto"/>
    </w:pPr>
    <w:rPr>
      <w:sz w:val="18"/>
      <w:szCs w:val="18"/>
    </w:rPr>
  </w:style>
  <w:style w:type="paragraph" w:styleId="9">
    <w:name w:val="footer"/>
    <w:basedOn w:val="1"/>
    <w:link w:val="19"/>
    <w:unhideWhenUsed/>
    <w:qFormat/>
    <w:uiPriority w:val="99"/>
    <w:pPr>
      <w:tabs>
        <w:tab w:val="center" w:pos="4320"/>
        <w:tab w:val="right" w:pos="8640"/>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320"/>
        <w:tab w:val="right" w:pos="8640"/>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2 Char"/>
    <w:basedOn w:val="15"/>
    <w:link w:val="5"/>
    <w:qFormat/>
    <w:uiPriority w:val="9"/>
    <w:rPr>
      <w:rFonts w:ascii="仿宋" w:hAnsi="仿宋" w:eastAsia="仿宋" w:cstheme="majorBidi"/>
      <w:b/>
      <w:bCs/>
      <w:sz w:val="32"/>
      <w:szCs w:val="32"/>
    </w:rPr>
  </w:style>
  <w:style w:type="character" w:customStyle="1" w:styleId="18">
    <w:name w:val="页眉 Char"/>
    <w:basedOn w:val="15"/>
    <w:link w:val="10"/>
    <w:qFormat/>
    <w:uiPriority w:val="99"/>
    <w:rPr>
      <w:sz w:val="18"/>
      <w:szCs w:val="18"/>
    </w:rPr>
  </w:style>
  <w:style w:type="character" w:customStyle="1" w:styleId="19">
    <w:name w:val="页脚 Char"/>
    <w:basedOn w:val="15"/>
    <w:link w:val="9"/>
    <w:qFormat/>
    <w:uiPriority w:val="99"/>
    <w:rPr>
      <w:sz w:val="18"/>
      <w:szCs w:val="18"/>
    </w:rPr>
  </w:style>
  <w:style w:type="paragraph" w:styleId="20">
    <w:name w:val="List Paragraph"/>
    <w:basedOn w:val="1"/>
    <w:qFormat/>
    <w:uiPriority w:val="0"/>
    <w:pPr>
      <w:ind w:firstLine="420"/>
    </w:pPr>
    <w:rPr>
      <w:rFonts w:ascii="Calibri" w:hAnsi="Calibri"/>
    </w:rPr>
  </w:style>
  <w:style w:type="paragraph" w:customStyle="1" w:styleId="21">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2">
    <w:name w:val="批注框文本 Char"/>
    <w:basedOn w:val="15"/>
    <w:link w:val="8"/>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5263</Words>
  <Characters>5496</Characters>
  <Lines>99</Lines>
  <Paragraphs>27</Paragraphs>
  <TotalTime>6</TotalTime>
  <ScaleCrop>false</ScaleCrop>
  <LinksUpToDate>false</LinksUpToDate>
  <CharactersWithSpaces>5561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Administrator</cp:lastModifiedBy>
  <cp:lastPrinted>2021-04-01T02:49:00Z</cp:lastPrinted>
  <dcterms:modified xsi:type="dcterms:W3CDTF">2022-06-28T07:59:40Z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998025F45D44409FA5AF647465C75D80</vt:lpwstr>
  </property>
</Properties>
</file>