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项目支出部门评价报告</w:t>
      </w:r>
    </w:p>
    <w:p>
      <w:pPr>
        <w:jc w:val="center"/>
        <w:rPr>
          <w:rFonts w:ascii="黑体" w:hAnsi="宋体" w:eastAsia="黑体" w:cs="Arial"/>
          <w:bCs/>
          <w:color w:val="000000"/>
          <w:sz w:val="32"/>
          <w:szCs w:val="32"/>
        </w:rPr>
      </w:pPr>
    </w:p>
    <w:p>
      <w:pPr>
        <w:spacing w:line="600" w:lineRule="exact"/>
        <w:ind w:firstLine="800" w:firstLineChars="250"/>
        <w:jc w:val="left"/>
        <w:rPr>
          <w:rFonts w:ascii="黑体" w:hAnsi="黑体" w:eastAsia="黑体" w:cs="黑体"/>
          <w:bCs/>
          <w:color w:val="000000"/>
          <w:sz w:val="32"/>
          <w:szCs w:val="32"/>
          <w:u w:val="single"/>
        </w:rPr>
      </w:pPr>
      <w:r>
        <w:rPr>
          <w:rFonts w:hint="eastAsia" w:ascii="黑体" w:hAnsi="宋体" w:eastAsia="黑体" w:cs="Arial"/>
          <w:bCs/>
          <w:color w:val="000000"/>
          <w:sz w:val="32"/>
          <w:szCs w:val="32"/>
        </w:rPr>
        <w:t>评价类型：</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eastAsia="zh-CN"/>
        </w:rPr>
        <w:t>实施过程评价、完成结果评价</w:t>
      </w:r>
      <w:r>
        <w:rPr>
          <w:rFonts w:hint="eastAsia" w:ascii="黑体" w:hAnsi="黑体" w:eastAsia="黑体" w:cs="黑体"/>
          <w:bCs/>
          <w:color w:val="000000"/>
          <w:sz w:val="32"/>
          <w:szCs w:val="32"/>
          <w:u w:val="single"/>
        </w:rPr>
        <w:t xml:space="preserve">        </w:t>
      </w:r>
    </w:p>
    <w:p>
      <w:pPr>
        <w:spacing w:line="600" w:lineRule="exact"/>
        <w:jc w:val="left"/>
        <w:rPr>
          <w:rFonts w:ascii="黑体" w:hAnsi="宋体" w:eastAsia="黑体" w:cs="Arial"/>
          <w:bCs/>
          <w:color w:val="000000"/>
          <w:sz w:val="32"/>
          <w:szCs w:val="32"/>
        </w:rPr>
      </w:pPr>
    </w:p>
    <w:p>
      <w:pPr>
        <w:spacing w:line="600" w:lineRule="exact"/>
        <w:ind w:firstLine="800" w:firstLineChars="250"/>
        <w:jc w:val="left"/>
        <w:rPr>
          <w:rFonts w:hint="eastAsia"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南昌市土地储备中心老城区剩余土地及</w:t>
      </w:r>
    </w:p>
    <w:p>
      <w:pPr>
        <w:spacing w:line="600" w:lineRule="exact"/>
        <w:ind w:firstLine="2400" w:firstLineChars="750"/>
        <w:jc w:val="left"/>
        <w:rPr>
          <w:rFonts w:ascii="黑体" w:hAnsi="宋体" w:eastAsia="黑体" w:cs="Arial"/>
          <w:bCs/>
          <w:color w:val="000000"/>
          <w:sz w:val="32"/>
          <w:szCs w:val="32"/>
          <w:u w:val="single"/>
        </w:rPr>
      </w:pPr>
      <w:r>
        <w:rPr>
          <w:rFonts w:hint="eastAsia" w:ascii="黑体" w:hAnsi="黑体" w:eastAsia="黑体" w:cs="黑体"/>
          <w:bCs/>
          <w:color w:val="000000"/>
          <w:sz w:val="32"/>
          <w:szCs w:val="32"/>
          <w:u w:val="single"/>
        </w:rPr>
        <w:t xml:space="preserve">地上、地下附着物收储征收价款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spacing w:line="600" w:lineRule="exact"/>
        <w:jc w:val="left"/>
        <w:rPr>
          <w:rFonts w:ascii="黑体" w:hAnsi="宋体" w:eastAsia="黑体" w:cs="Arial"/>
          <w:bCs/>
          <w:color w:val="000000"/>
          <w:sz w:val="32"/>
          <w:szCs w:val="32"/>
        </w:rPr>
      </w:pPr>
    </w:p>
    <w:p>
      <w:pPr>
        <w:spacing w:line="600" w:lineRule="exact"/>
        <w:ind w:firstLine="800" w:firstLineChars="250"/>
        <w:jc w:val="left"/>
        <w:rPr>
          <w:rFonts w:ascii="黑体" w:hAnsi="宋体" w:eastAsia="黑体" w:cs="Arial"/>
          <w:bCs/>
          <w:color w:val="000000"/>
          <w:sz w:val="32"/>
          <w:szCs w:val="32"/>
          <w:u w:val="single"/>
        </w:rPr>
      </w:pPr>
      <w:r>
        <w:rPr>
          <w:rFonts w:hint="eastAsia" w:ascii="黑体" w:hAnsi="宋体" w:eastAsia="黑体" w:cs="Arial"/>
          <w:bCs/>
          <w:color w:val="000000"/>
          <w:sz w:val="32"/>
          <w:szCs w:val="32"/>
        </w:rPr>
        <w:t>项目单位：</w:t>
      </w:r>
      <w:r>
        <w:rPr>
          <w:rFonts w:hint="eastAsia" w:ascii="黑体" w:hAnsi="黑体" w:eastAsia="黑体" w:cs="黑体"/>
          <w:bCs/>
          <w:color w:val="000000"/>
          <w:sz w:val="32"/>
          <w:szCs w:val="32"/>
          <w:u w:val="single"/>
        </w:rPr>
        <w:t xml:space="preserve">       南昌市土地储备中心         </w:t>
      </w:r>
    </w:p>
    <w:p>
      <w:pPr>
        <w:spacing w:line="600" w:lineRule="exact"/>
        <w:jc w:val="left"/>
        <w:rPr>
          <w:rFonts w:ascii="黑体" w:hAnsi="宋体" w:eastAsia="黑体" w:cs="Arial"/>
          <w:bCs/>
          <w:color w:val="000000"/>
          <w:sz w:val="32"/>
          <w:szCs w:val="32"/>
        </w:rPr>
      </w:pPr>
    </w:p>
    <w:p>
      <w:pPr>
        <w:spacing w:line="600" w:lineRule="exact"/>
        <w:ind w:firstLine="800" w:firstLineChars="250"/>
        <w:jc w:val="left"/>
        <w:rPr>
          <w:rFonts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黑体" w:eastAsia="黑体" w:cs="黑体"/>
          <w:bCs/>
          <w:color w:val="000000"/>
          <w:sz w:val="32"/>
          <w:szCs w:val="32"/>
          <w:u w:val="single"/>
        </w:rPr>
        <w:t xml:space="preserve">              （盖章）            </w:t>
      </w:r>
    </w:p>
    <w:p>
      <w:pPr>
        <w:spacing w:line="600" w:lineRule="exact"/>
        <w:jc w:val="left"/>
        <w:rPr>
          <w:rFonts w:ascii="黑体" w:hAnsi="宋体" w:eastAsia="黑体" w:cs="Arial"/>
          <w:bCs/>
          <w:color w:val="000000"/>
          <w:sz w:val="32"/>
          <w:szCs w:val="32"/>
        </w:rPr>
      </w:pPr>
    </w:p>
    <w:p>
      <w:pPr>
        <w:spacing w:line="600" w:lineRule="exact"/>
        <w:ind w:firstLine="800" w:firstLineChars="250"/>
        <w:jc w:val="left"/>
        <w:rPr>
          <w:rFonts w:ascii="黑体" w:hAnsi="宋体" w:eastAsia="黑体" w:cs="Arial"/>
          <w:bCs/>
          <w:color w:val="000000"/>
          <w:sz w:val="32"/>
          <w:szCs w:val="32"/>
        </w:rPr>
      </w:pPr>
      <w:r>
        <w:rPr>
          <w:rFonts w:hint="eastAsia" w:ascii="黑体" w:hAnsi="宋体" w:eastAsia="黑体" w:cs="Arial"/>
          <w:bCs/>
          <w:color w:val="000000"/>
          <w:sz w:val="32"/>
          <w:szCs w:val="32"/>
        </w:rPr>
        <w:t>评价时间：</w:t>
      </w:r>
      <w:r>
        <w:rPr>
          <w:rFonts w:hint="eastAsia" w:ascii="黑体" w:hAnsi="黑体" w:eastAsia="黑体" w:cs="黑体"/>
          <w:bCs/>
          <w:color w:val="000000"/>
          <w:sz w:val="32"/>
          <w:szCs w:val="32"/>
          <w:u w:val="single"/>
        </w:rPr>
        <w:t>202</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年</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月</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日至202</w:t>
      </w:r>
      <w:r>
        <w:rPr>
          <w:rFonts w:hint="eastAsia" w:ascii="黑体" w:hAnsi="黑体" w:eastAsia="黑体" w:cs="黑体"/>
          <w:bCs/>
          <w:color w:val="000000"/>
          <w:sz w:val="32"/>
          <w:szCs w:val="32"/>
          <w:u w:val="single"/>
          <w:lang w:val="en-US" w:eastAsia="zh-CN"/>
        </w:rPr>
        <w:t>1</w:t>
      </w:r>
      <w:r>
        <w:rPr>
          <w:rFonts w:hint="eastAsia" w:ascii="黑体" w:hAnsi="黑体" w:eastAsia="黑体" w:cs="黑体"/>
          <w:bCs/>
          <w:color w:val="000000"/>
          <w:sz w:val="32"/>
          <w:szCs w:val="32"/>
          <w:u w:val="single"/>
        </w:rPr>
        <w:t>年</w:t>
      </w:r>
      <w:r>
        <w:rPr>
          <w:rFonts w:hint="eastAsia" w:ascii="黑体" w:hAnsi="黑体" w:eastAsia="黑体" w:cs="黑体"/>
          <w:bCs/>
          <w:color w:val="000000"/>
          <w:sz w:val="32"/>
          <w:szCs w:val="32"/>
          <w:u w:val="single"/>
          <w:lang w:val="en-US" w:eastAsia="zh-CN"/>
        </w:rPr>
        <w:t>12</w:t>
      </w:r>
      <w:r>
        <w:rPr>
          <w:rFonts w:hint="eastAsia" w:ascii="黑体" w:hAnsi="黑体" w:eastAsia="黑体" w:cs="黑体"/>
          <w:bCs/>
          <w:color w:val="000000"/>
          <w:sz w:val="32"/>
          <w:szCs w:val="32"/>
          <w:u w:val="single"/>
        </w:rPr>
        <w:t>月</w:t>
      </w:r>
      <w:r>
        <w:rPr>
          <w:rFonts w:hint="eastAsia" w:ascii="黑体" w:hAnsi="黑体" w:eastAsia="黑体" w:cs="黑体"/>
          <w:bCs/>
          <w:color w:val="000000"/>
          <w:sz w:val="32"/>
          <w:szCs w:val="32"/>
          <w:u w:val="single"/>
          <w:lang w:val="en-US" w:eastAsia="zh-CN"/>
        </w:rPr>
        <w:t>30</w:t>
      </w:r>
      <w:r>
        <w:rPr>
          <w:rFonts w:hint="eastAsia" w:ascii="黑体" w:hAnsi="黑体" w:eastAsia="黑体" w:cs="黑体"/>
          <w:bCs/>
          <w:color w:val="000000"/>
          <w:sz w:val="32"/>
          <w:szCs w:val="32"/>
          <w:u w:val="single"/>
        </w:rPr>
        <w:t>日</w:t>
      </w:r>
    </w:p>
    <w:p>
      <w:pPr>
        <w:spacing w:line="600" w:lineRule="exact"/>
        <w:jc w:val="left"/>
        <w:rPr>
          <w:rFonts w:ascii="黑体" w:hAnsi="宋体" w:eastAsia="黑体" w:cs="Arial"/>
          <w:bCs/>
          <w:color w:val="000000"/>
          <w:sz w:val="32"/>
          <w:szCs w:val="32"/>
        </w:rPr>
      </w:pPr>
    </w:p>
    <w:p>
      <w:pPr>
        <w:spacing w:line="600" w:lineRule="exact"/>
        <w:ind w:firstLine="800" w:firstLineChars="250"/>
        <w:jc w:val="left"/>
        <w:rPr>
          <w:rFonts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lang w:val="en-US" w:eastAsia="zh-CN"/>
        </w:rPr>
        <w:t xml:space="preserve">                             </w:t>
      </w:r>
      <w:r>
        <w:rPr>
          <w:rFonts w:hint="eastAsia" w:ascii="黑体" w:hAnsi="黑体" w:eastAsia="黑体" w:cs="黑体"/>
          <w:bCs/>
          <w:color w:val="000000"/>
          <w:sz w:val="32"/>
          <w:szCs w:val="32"/>
          <w:u w:val="single"/>
        </w:rPr>
        <w:t xml:space="preserve">  </w:t>
      </w: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r>
        <w:rPr>
          <w:rFonts w:hint="eastAsia" w:ascii="黑体" w:hAnsi="宋体" w:eastAsia="黑体" w:cs="Arial"/>
          <w:bCs/>
          <w:color w:val="000000"/>
          <w:sz w:val="32"/>
          <w:szCs w:val="32"/>
        </w:rPr>
        <w:t>2022年05月25日</w:t>
      </w: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南昌市土地储备中心</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老城区剩余土地及地上、地下附着物收储征收价款</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项目支出绩效评价报告</w:t>
      </w:r>
    </w:p>
    <w:p>
      <w:pPr>
        <w:jc w:val="center"/>
        <w:rPr>
          <w:rFonts w:ascii="黑体" w:hAnsi="黑体" w:eastAsia="黑体" w:cs="黑体"/>
          <w:bCs/>
          <w:color w:val="FF0000"/>
          <w:sz w:val="32"/>
          <w:szCs w:val="32"/>
        </w:rPr>
      </w:pPr>
    </w:p>
    <w:p>
      <w:pPr>
        <w:widowControl/>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根据《中共南昌市委南昌市人民政府关于全面实施预算绩效管理的实施意见》（洪发〔2019〕13号）及《南昌市财政项目支出绩效评价管理办法》（洪财办〔2021〕44号）精神，贯彻落实《南昌市财政局关于开展2021年度单位自评及部门评价工作的通知》（洪财绩〔2022〕1号）文件，</w:t>
      </w:r>
      <w:r>
        <w:rPr>
          <w:rFonts w:hint="eastAsia" w:ascii="仿宋" w:hAnsi="仿宋" w:eastAsia="仿宋"/>
          <w:sz w:val="32"/>
          <w:szCs w:val="32"/>
        </w:rPr>
        <w:t>市</w:t>
      </w:r>
      <w:r>
        <w:rPr>
          <w:rFonts w:hint="eastAsia" w:ascii="仿宋" w:hAnsi="仿宋" w:eastAsia="仿宋"/>
          <w:sz w:val="32"/>
          <w:szCs w:val="32"/>
          <w:lang w:eastAsia="zh-CN"/>
        </w:rPr>
        <w:t>自然资源和规划局</w:t>
      </w:r>
      <w:r>
        <w:rPr>
          <w:rFonts w:hint="eastAsia" w:ascii="仿宋" w:hAnsi="仿宋" w:eastAsia="仿宋" w:cs="仿宋_GB2312"/>
          <w:color w:val="000000"/>
          <w:sz w:val="32"/>
          <w:szCs w:val="32"/>
        </w:rPr>
        <w:t>开展了老城区剩余土地及地上、地下附着物收储征收价款项目资金项目支出绩效评价工作，现报告如下：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一、基本情况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（一）项目概况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1、项目背景</w:t>
      </w:r>
    </w:p>
    <w:p>
      <w:pPr>
        <w:widowControl/>
        <w:ind w:firstLine="320" w:firstLineChars="100"/>
        <w:jc w:val="left"/>
        <w:rPr>
          <w:rFonts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_GB2312"/>
          <w:color w:val="000000"/>
          <w:sz w:val="32"/>
          <w:szCs w:val="32"/>
        </w:rPr>
        <w:t>南昌市财政局关于开展2021年度单位自评及部门评价工作的通知</w:t>
      </w:r>
      <w:r>
        <w:rPr>
          <w:rFonts w:hint="eastAsia" w:ascii="仿宋" w:hAnsi="仿宋" w:eastAsia="仿宋" w:cs="仿宋"/>
          <w:sz w:val="32"/>
          <w:szCs w:val="32"/>
        </w:rPr>
        <w:t>》</w:t>
      </w:r>
      <w:r>
        <w:rPr>
          <w:rFonts w:hint="eastAsia" w:ascii="仿宋" w:hAnsi="仿宋" w:eastAsia="仿宋" w:cs="仿宋_GB2312"/>
          <w:color w:val="000000"/>
          <w:sz w:val="32"/>
          <w:szCs w:val="32"/>
        </w:rPr>
        <w:t>（洪财绩〔2022〕1号）文件</w:t>
      </w:r>
      <w:r>
        <w:rPr>
          <w:rFonts w:hint="eastAsia" w:ascii="仿宋" w:hAnsi="仿宋" w:eastAsia="仿宋" w:cs="仿宋"/>
          <w:sz w:val="32"/>
          <w:szCs w:val="32"/>
        </w:rPr>
        <w:t>要求和部署，市土储中心绩效评价小组开展了2021年度项目绩效评价工作，根据市政府抄告单（洪府办抄字</w:t>
      </w:r>
      <w:r>
        <w:rPr>
          <w:rFonts w:ascii="仿宋" w:hAnsi="仿宋" w:eastAsia="仿宋" w:cs="仿宋_GB2312"/>
          <w:color w:val="000000"/>
          <w:kern w:val="0"/>
          <w:sz w:val="32"/>
          <w:szCs w:val="32"/>
        </w:rPr>
        <w:t>字〔</w:t>
      </w:r>
      <w:r>
        <w:rPr>
          <w:rFonts w:ascii="仿宋" w:hAnsi="仿宋" w:eastAsia="仿宋"/>
          <w:color w:val="000000"/>
          <w:kern w:val="0"/>
          <w:sz w:val="32"/>
          <w:szCs w:val="32"/>
        </w:rPr>
        <w:t>2021</w:t>
      </w:r>
      <w:r>
        <w:rPr>
          <w:rFonts w:ascii="仿宋" w:hAnsi="仿宋" w:eastAsia="仿宋" w:cs="仿宋_GB2312"/>
          <w:color w:val="000000"/>
          <w:kern w:val="0"/>
          <w:sz w:val="32"/>
          <w:szCs w:val="32"/>
        </w:rPr>
        <w:t>〕</w:t>
      </w:r>
      <w:r>
        <w:rPr>
          <w:rFonts w:ascii="仿宋" w:hAnsi="仿宋" w:eastAsia="仿宋"/>
          <w:color w:val="000000"/>
          <w:kern w:val="0"/>
          <w:sz w:val="32"/>
          <w:szCs w:val="32"/>
        </w:rPr>
        <w:t>646</w:t>
      </w:r>
      <w:r>
        <w:rPr>
          <w:rFonts w:ascii="仿宋" w:hAnsi="仿宋" w:eastAsia="仿宋" w:cs="仿宋_GB2312"/>
          <w:color w:val="000000"/>
          <w:kern w:val="0"/>
          <w:sz w:val="32"/>
          <w:szCs w:val="32"/>
        </w:rPr>
        <w:t>号</w:t>
      </w:r>
      <w:r>
        <w:rPr>
          <w:rFonts w:hint="eastAsia" w:ascii="仿宋" w:hAnsi="仿宋" w:eastAsia="仿宋" w:cs="仿宋"/>
          <w:sz w:val="32"/>
          <w:szCs w:val="32"/>
        </w:rPr>
        <w:t>）文件开展</w:t>
      </w:r>
      <w:r>
        <w:rPr>
          <w:rFonts w:hint="eastAsia" w:ascii="仿宋" w:hAnsi="仿宋" w:eastAsia="仿宋"/>
          <w:sz w:val="32"/>
          <w:szCs w:val="32"/>
        </w:rPr>
        <w:t>老城区剩余土地及地上、地下附着物收储征收价款支付工作</w:t>
      </w:r>
      <w:r>
        <w:rPr>
          <w:rFonts w:hint="eastAsia" w:ascii="仿宋" w:hAnsi="仿宋" w:eastAsia="仿宋" w:cs="仿宋"/>
          <w:sz w:val="32"/>
          <w:szCs w:val="32"/>
        </w:rPr>
        <w:t>。</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2、项目主要内容及实施情况</w:t>
      </w:r>
    </w:p>
    <w:p>
      <w:pPr>
        <w:widowControl/>
        <w:jc w:val="left"/>
        <w:rPr>
          <w:rFonts w:ascii="仿宋" w:hAnsi="仿宋" w:eastAsia="仿宋" w:cs="仿宋"/>
          <w:sz w:val="32"/>
          <w:szCs w:val="32"/>
        </w:rPr>
      </w:pPr>
      <w:r>
        <w:rPr>
          <w:rFonts w:hint="eastAsia" w:ascii="仿宋" w:hAnsi="仿宋" w:eastAsia="仿宋" w:cs="仿宋"/>
          <w:sz w:val="32"/>
          <w:szCs w:val="32"/>
        </w:rPr>
        <w:t>主要内容：鉴于《洪都老厂区剩余土地及地上、</w:t>
      </w:r>
      <w:r>
        <w:rPr>
          <w:rFonts w:ascii="仿宋" w:hAnsi="仿宋" w:eastAsia="仿宋" w:cs="仿宋"/>
          <w:sz w:val="32"/>
          <w:szCs w:val="32"/>
        </w:rPr>
        <w:t>地下附着物收储框架协议》内所涉土地今年共有 4 宗土地出让，出让金总额约 16.08 亿元，同意将计提防风险等专项资金后剩余的 11.31 亿元由市财政专户拨付至市土储中心，再由市土储中心转入洪都集团。洪都集团应按收储框架协议相关约定尽快交付净地，剩余收储及征收价款待洪都老厂区剩余土地按进度交付和出让后再予以支付</w:t>
      </w:r>
      <w:r>
        <w:rPr>
          <w:rFonts w:hint="eastAsia" w:ascii="仿宋" w:hAnsi="仿宋" w:eastAsia="仿宋" w:cs="仿宋"/>
          <w:sz w:val="32"/>
          <w:szCs w:val="32"/>
        </w:rPr>
        <w:t>。</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sz w:val="32"/>
          <w:szCs w:val="32"/>
        </w:rPr>
        <w:t>实施情况：</w:t>
      </w:r>
      <w:r>
        <w:rPr>
          <w:rFonts w:hint="eastAsia" w:ascii="仿宋" w:hAnsi="仿宋" w:eastAsia="仿宋" w:cs="仿宋_GB2312"/>
          <w:sz w:val="32"/>
          <w:szCs w:val="32"/>
        </w:rPr>
        <w:t>南昌市土储中心于2021年12月份向</w:t>
      </w:r>
      <w:r>
        <w:rPr>
          <w:rFonts w:hint="eastAsia" w:ascii="仿宋" w:hAnsi="仿宋" w:eastAsia="仿宋" w:cs="仿宋"/>
          <w:sz w:val="32"/>
          <w:szCs w:val="32"/>
        </w:rPr>
        <w:t>洪都集团已完成支付</w:t>
      </w:r>
      <w:r>
        <w:rPr>
          <w:rFonts w:ascii="仿宋" w:hAnsi="仿宋" w:eastAsia="仿宋"/>
          <w:sz w:val="32"/>
          <w:szCs w:val="32"/>
        </w:rPr>
        <w:t>。</w:t>
      </w:r>
    </w:p>
    <w:p>
      <w:pPr>
        <w:adjustRightInd w:val="0"/>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实施期限：2021年全年度</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3、资金投入和使用情况</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南昌市土地储备中心老城区剩余土地及地上、地下附着物收储征收价款项目预算资金为113100万元，截止2021年12月15日止，项目实际支出共计113100万元，资金使用率为100%，已完成全部支付</w:t>
      </w:r>
      <w:r>
        <w:rPr>
          <w:rFonts w:hint="eastAsia" w:ascii="仿宋" w:hAnsi="仿宋" w:eastAsia="仿宋" w:cs="仿宋_GB2312"/>
          <w:sz w:val="32"/>
          <w:szCs w:val="32"/>
        </w:rPr>
        <w:t>。</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（二）项目绩效目标</w:t>
      </w:r>
    </w:p>
    <w:p>
      <w:pPr>
        <w:spacing w:line="600" w:lineRule="exact"/>
        <w:ind w:firstLine="643" w:firstLineChars="200"/>
        <w:rPr>
          <w:rFonts w:ascii="仿宋" w:hAnsi="仿宋" w:eastAsia="仿宋" w:cs="黑体"/>
          <w:sz w:val="32"/>
          <w:szCs w:val="32"/>
        </w:rPr>
      </w:pPr>
      <w:r>
        <w:rPr>
          <w:rFonts w:hint="eastAsia" w:ascii="仿宋" w:hAnsi="仿宋" w:eastAsia="仿宋"/>
          <w:b/>
          <w:color w:val="000000"/>
          <w:sz w:val="32"/>
          <w:szCs w:val="32"/>
        </w:rPr>
        <w:t>1、总体目标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完成红都集团扣除防风险等资金后神域资金113100万元的支付。</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2、阶段性目标</w:t>
      </w:r>
    </w:p>
    <w:p>
      <w:pPr>
        <w:ind w:firstLine="640" w:firstLineChars="200"/>
        <w:rPr>
          <w:rFonts w:ascii="仿宋" w:hAnsi="仿宋" w:eastAsia="仿宋" w:cs="仿宋_GB2312"/>
          <w:sz w:val="32"/>
          <w:szCs w:val="32"/>
        </w:rPr>
      </w:pPr>
      <w:r>
        <w:rPr>
          <w:rFonts w:hint="eastAsia" w:ascii="仿宋" w:hAnsi="仿宋" w:eastAsia="仿宋"/>
          <w:sz w:val="32"/>
          <w:szCs w:val="32"/>
        </w:rPr>
        <w:t>2021年市土储中心</w:t>
      </w:r>
      <w:r>
        <w:rPr>
          <w:rFonts w:hint="eastAsia" w:ascii="仿宋" w:hAnsi="仿宋" w:eastAsia="仿宋" w:cs="仿宋_GB2312"/>
          <w:sz w:val="32"/>
          <w:szCs w:val="32"/>
        </w:rPr>
        <w:t>12月</w:t>
      </w:r>
      <w:r>
        <w:rPr>
          <w:rFonts w:hint="eastAsia" w:ascii="仿宋" w:hAnsi="仿宋" w:eastAsia="仿宋" w:cs="仿宋"/>
          <w:sz w:val="32"/>
          <w:szCs w:val="32"/>
        </w:rPr>
        <w:t>，已完成支付工作</w:t>
      </w:r>
      <w:r>
        <w:rPr>
          <w:rFonts w:hint="eastAsia" w:ascii="仿宋" w:hAnsi="仿宋" w:eastAsia="仿宋" w:cs="黑体"/>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二、绩效评价工作开展情况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（一）绩效评价目的、对象和范围。</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1、绩效评价目的</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绩效评价，科学、客观、公正的对2021年度南昌市土地储备中心老城区剩余土地及地上、地下附着物收储征收价款项目资金进行整体综合性评价，分析项目各项指标是否达到预期完成情况，评价资金使用的规范性和有效性，并及时总结经验，分析存在问题，提出改进意见和建议，促进本单位提升财政项目资金的预算绩效管理工作水平，强化支出责任，优化资源配置效率，提高财政资金使用效益。</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2、绩效评价对象和范围</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本项目绩效评价对象为南昌市土储中心老城区剩余土地及地上、地下附着物收储征收价款项目，本次绩效评价范围是：</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（1）绩效目标与战略发展规划的适应性；</w:t>
      </w:r>
      <w:r>
        <w:rPr>
          <w:rFonts w:hint="eastAsia" w:ascii="仿宋" w:hAnsi="仿宋" w:eastAsia="仿宋"/>
          <w:sz w:val="32"/>
          <w:szCs w:val="32"/>
        </w:rPr>
        <w:br w:type="textWrapping"/>
      </w:r>
      <w:r>
        <w:rPr>
          <w:rFonts w:hint="eastAsia" w:ascii="仿宋" w:hAnsi="仿宋" w:eastAsia="仿宋"/>
          <w:sz w:val="32"/>
          <w:szCs w:val="32"/>
        </w:rPr>
        <w:t>　　（2）财政资金使用情况、财务管理状况和资产配置、使用、处置及其收益管理情况；</w:t>
      </w:r>
      <w:r>
        <w:rPr>
          <w:rFonts w:hint="eastAsia" w:ascii="仿宋" w:hAnsi="仿宋" w:eastAsia="仿宋"/>
          <w:sz w:val="32"/>
          <w:szCs w:val="32"/>
        </w:rPr>
        <w:br w:type="textWrapping"/>
      </w:r>
      <w:r>
        <w:rPr>
          <w:rFonts w:hint="eastAsia" w:ascii="仿宋" w:hAnsi="仿宋" w:eastAsia="仿宋"/>
          <w:sz w:val="32"/>
          <w:szCs w:val="32"/>
        </w:rPr>
        <w:t>　　（3）为加强管理所制定的相关制度、采取的措施等；</w:t>
      </w:r>
      <w:r>
        <w:rPr>
          <w:rFonts w:hint="eastAsia" w:ascii="仿宋" w:hAnsi="仿宋" w:eastAsia="仿宋"/>
          <w:sz w:val="32"/>
          <w:szCs w:val="32"/>
        </w:rPr>
        <w:br w:type="textWrapping"/>
      </w:r>
      <w:r>
        <w:rPr>
          <w:rFonts w:hint="eastAsia" w:ascii="仿宋" w:hAnsi="仿宋" w:eastAsia="仿宋"/>
          <w:sz w:val="32"/>
          <w:szCs w:val="32"/>
        </w:rPr>
        <w:t>　　（4）绩效目标的实现程度，包括是否达到预定产出和效果等；</w:t>
      </w:r>
      <w:r>
        <w:rPr>
          <w:rFonts w:hint="eastAsia" w:ascii="仿宋" w:hAnsi="仿宋" w:eastAsia="仿宋"/>
          <w:sz w:val="32"/>
          <w:szCs w:val="32"/>
        </w:rPr>
        <w:br w:type="textWrapping"/>
      </w:r>
      <w:r>
        <w:rPr>
          <w:rFonts w:hint="eastAsia" w:ascii="仿宋" w:hAnsi="仿宋" w:eastAsia="仿宋"/>
          <w:sz w:val="32"/>
          <w:szCs w:val="32"/>
        </w:rPr>
        <w:t>　　（5）需要评价的其他内容。</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（二）绩效评价原则、评价指标体系（附表说明）、评价方法、评价标准等。</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1、绩效评价原则</w:t>
      </w:r>
    </w:p>
    <w:p>
      <w:pPr>
        <w:pStyle w:val="4"/>
        <w:spacing w:line="600" w:lineRule="exact"/>
        <w:rPr>
          <w:rFonts w:ascii="仿宋" w:hAnsi="仿宋" w:eastAsia="仿宋" w:cs="仿宋_GB2312"/>
          <w:szCs w:val="32"/>
        </w:rPr>
      </w:pPr>
      <w:r>
        <w:rPr>
          <w:rFonts w:hint="eastAsia" w:ascii="仿宋" w:hAnsi="仿宋" w:eastAsia="仿宋" w:cs="仿宋_GB2312"/>
          <w:szCs w:val="32"/>
        </w:rPr>
        <w:t>评价原则：</w:t>
      </w:r>
    </w:p>
    <w:p>
      <w:pPr>
        <w:pStyle w:val="4"/>
        <w:spacing w:line="600" w:lineRule="exact"/>
        <w:rPr>
          <w:rFonts w:ascii="仿宋" w:hAnsi="仿宋" w:eastAsia="仿宋" w:cs="仿宋_GB2312"/>
          <w:szCs w:val="32"/>
        </w:rPr>
      </w:pPr>
      <w:r>
        <w:rPr>
          <w:rFonts w:hint="eastAsia" w:ascii="仿宋" w:hAnsi="仿宋" w:eastAsia="仿宋" w:cs="仿宋_GB2312"/>
          <w:szCs w:val="32"/>
        </w:rPr>
        <w:t>（1）科学规范原则。绩效评价注重财政支出的经济性、效率性和有效性，严格执行规定的程序，采用定量与定性分析相结合的方法。</w:t>
      </w:r>
      <w:r>
        <w:rPr>
          <w:rFonts w:hint="eastAsia" w:ascii="仿宋" w:hAnsi="仿宋" w:eastAsia="仿宋" w:cs="仿宋_GB2312"/>
          <w:szCs w:val="32"/>
        </w:rPr>
        <w:br w:type="textWrapping"/>
      </w:r>
      <w:r>
        <w:rPr>
          <w:rFonts w:hint="eastAsia" w:ascii="仿宋" w:hAnsi="仿宋" w:eastAsia="仿宋" w:cs="仿宋_GB2312"/>
          <w:szCs w:val="32"/>
        </w:rPr>
        <w:t xml:space="preserve">    （2）公正公开原则。绩效评价客观、公正，标准统一、资料可靠，依法公开并接受监督。</w:t>
      </w:r>
      <w:r>
        <w:rPr>
          <w:rFonts w:hint="eastAsia" w:ascii="仿宋" w:hAnsi="仿宋" w:eastAsia="仿宋" w:cs="仿宋_GB2312"/>
          <w:szCs w:val="32"/>
        </w:rPr>
        <w:br w:type="textWrapping"/>
      </w:r>
      <w:r>
        <w:rPr>
          <w:rFonts w:hint="eastAsia" w:ascii="仿宋" w:hAnsi="仿宋" w:eastAsia="仿宋" w:cs="仿宋_GB2312"/>
          <w:szCs w:val="32"/>
        </w:rPr>
        <w:t xml:space="preserve">    （3）分级分类原则。绩效评价由各级财政部门、部门（单位）根据评价对象的特点，分类组织实施。</w:t>
      </w:r>
      <w:r>
        <w:rPr>
          <w:rFonts w:hint="eastAsia" w:ascii="仿宋" w:hAnsi="仿宋" w:eastAsia="仿宋" w:cs="仿宋_GB2312"/>
          <w:szCs w:val="32"/>
        </w:rPr>
        <w:br w:type="textWrapping"/>
      </w:r>
      <w:r>
        <w:rPr>
          <w:rFonts w:hint="eastAsia" w:ascii="仿宋" w:hAnsi="仿宋" w:eastAsia="仿宋" w:cs="仿宋_GB2312"/>
          <w:szCs w:val="32"/>
        </w:rPr>
        <w:t xml:space="preserve">    （4）绩效相关原则。绩效评价针对具体支出及其产出绩效进行，评价结果清晰反映支出和产出绩效之间的紧密对应关系。</w:t>
      </w:r>
      <w:r>
        <w:rPr>
          <w:rFonts w:hint="eastAsia" w:ascii="仿宋" w:hAnsi="仿宋" w:eastAsia="仿宋" w:cs="仿宋_GB2312"/>
          <w:szCs w:val="32"/>
        </w:rPr>
        <w:br w:type="textWrapping"/>
      </w:r>
      <w:r>
        <w:rPr>
          <w:rFonts w:hint="eastAsia" w:ascii="仿宋" w:hAnsi="仿宋" w:eastAsia="仿宋" w:cs="仿宋_GB2312"/>
          <w:szCs w:val="32"/>
        </w:rPr>
        <w:t xml:space="preserve">     根据以上原则，绩效评价应遵循如下要求：</w:t>
      </w:r>
      <w:r>
        <w:rPr>
          <w:rFonts w:hint="eastAsia" w:ascii="仿宋" w:hAnsi="仿宋" w:eastAsia="仿宋" w:cs="仿宋_GB2312"/>
          <w:szCs w:val="32"/>
        </w:rPr>
        <w:br w:type="textWrapping"/>
      </w:r>
      <w:r>
        <w:rPr>
          <w:rFonts w:hint="eastAsia" w:ascii="仿宋" w:hAnsi="仿宋" w:eastAsia="仿宋" w:cs="仿宋_GB2312"/>
          <w:szCs w:val="32"/>
        </w:rPr>
        <w:t xml:space="preserve">    （1）在数据采集时，采取客观数据，主管部门审查、社会中介组织复查，与问卷调查相结合的形式，以保证各项指标的真实性。</w:t>
      </w:r>
      <w:r>
        <w:rPr>
          <w:rFonts w:hint="eastAsia" w:ascii="仿宋" w:hAnsi="仿宋" w:eastAsia="仿宋" w:cs="仿宋_GB2312"/>
          <w:szCs w:val="32"/>
        </w:rPr>
        <w:br w:type="textWrapping"/>
      </w:r>
      <w:r>
        <w:rPr>
          <w:rFonts w:hint="eastAsia" w:ascii="仿宋" w:hAnsi="仿宋" w:eastAsia="仿宋" w:cs="仿宋_GB2312"/>
          <w:szCs w:val="32"/>
        </w:rPr>
        <w:t xml:space="preserve">    （2）保证评价结果的真实性、公正性，提高评价报告的公信力。</w:t>
      </w:r>
      <w:r>
        <w:rPr>
          <w:rFonts w:hint="eastAsia" w:ascii="仿宋" w:hAnsi="仿宋" w:eastAsia="仿宋" w:cs="仿宋_GB2312"/>
          <w:szCs w:val="32"/>
        </w:rPr>
        <w:br w:type="textWrapping"/>
      </w:r>
      <w:r>
        <w:rPr>
          <w:rFonts w:hint="eastAsia" w:ascii="仿宋" w:hAnsi="仿宋" w:eastAsia="仿宋" w:cs="仿宋_GB2312"/>
          <w:szCs w:val="32"/>
        </w:rPr>
        <w:t xml:space="preserve">    （3）绩效评价报告应当简明扼要，除了对绩效评价的过程、结果描述外，还应总结经验，指出问题，并就共性问题提出可操作性改进建议。</w:t>
      </w:r>
      <w:r>
        <w:rPr>
          <w:rFonts w:hint="eastAsia" w:ascii="仿宋" w:hAnsi="仿宋" w:eastAsia="仿宋" w:cs="仿宋_GB2312"/>
          <w:szCs w:val="32"/>
        </w:rPr>
        <w:br w:type="textWrapping"/>
      </w:r>
      <w:r>
        <w:rPr>
          <w:rFonts w:hint="eastAsia" w:ascii="仿宋" w:hAnsi="仿宋" w:eastAsia="仿宋" w:cs="仿宋_GB2312"/>
          <w:szCs w:val="32"/>
        </w:rPr>
        <w:t xml:space="preserve">    评价依据：</w:t>
      </w:r>
      <w:r>
        <w:rPr>
          <w:rFonts w:hint="eastAsia" w:ascii="仿宋" w:hAnsi="仿宋" w:eastAsia="仿宋" w:cs="仿宋_GB2312"/>
          <w:szCs w:val="32"/>
        </w:rPr>
        <w:br w:type="textWrapping"/>
      </w:r>
      <w:r>
        <w:rPr>
          <w:rFonts w:hint="eastAsia" w:ascii="仿宋" w:hAnsi="仿宋" w:eastAsia="仿宋" w:cs="仿宋_GB2312"/>
          <w:szCs w:val="32"/>
        </w:rPr>
        <w:t xml:space="preserve">    （1）各专项资金管理的相关法律法规和政策性文件。</w:t>
      </w:r>
      <w:r>
        <w:rPr>
          <w:rFonts w:hint="eastAsia" w:ascii="仿宋" w:hAnsi="仿宋" w:eastAsia="仿宋" w:cs="仿宋_GB2312"/>
          <w:szCs w:val="32"/>
        </w:rPr>
        <w:br w:type="textWrapping"/>
      </w:r>
      <w:r>
        <w:rPr>
          <w:rFonts w:hint="eastAsia" w:ascii="仿宋" w:hAnsi="仿宋" w:eastAsia="仿宋" w:cs="仿宋_GB2312"/>
          <w:szCs w:val="32"/>
        </w:rPr>
        <w:t xml:space="preserve">    （2）市政府《关于印发&lt;南昌市财政支出绩效评价管理办法（试行）&gt;的通知》（洪府发〔2014〕8号）。</w:t>
      </w:r>
      <w:r>
        <w:rPr>
          <w:rFonts w:hint="eastAsia" w:ascii="仿宋" w:hAnsi="仿宋" w:eastAsia="仿宋" w:cs="仿宋_GB2312"/>
          <w:szCs w:val="32"/>
        </w:rPr>
        <w:br w:type="textWrapping"/>
      </w:r>
      <w:r>
        <w:rPr>
          <w:rFonts w:hint="eastAsia" w:ascii="仿宋" w:hAnsi="仿宋" w:eastAsia="仿宋" w:cs="仿宋_GB2312"/>
          <w:szCs w:val="32"/>
        </w:rPr>
        <w:t xml:space="preserve">    （3）《江西省财政厅关于转发财政部&lt;预算绩效评价共性指标体系框架&gt;的通知》的通知（洪财预〔2013〕69号）。</w:t>
      </w:r>
      <w:r>
        <w:rPr>
          <w:rFonts w:hint="eastAsia" w:ascii="仿宋" w:hAnsi="仿宋" w:eastAsia="仿宋" w:cs="仿宋_GB2312"/>
          <w:szCs w:val="32"/>
        </w:rPr>
        <w:br w:type="textWrapping"/>
      </w:r>
      <w:r>
        <w:rPr>
          <w:rFonts w:hint="eastAsia" w:ascii="仿宋" w:hAnsi="仿宋" w:eastAsia="仿宋" w:cs="仿宋_GB2312"/>
          <w:szCs w:val="32"/>
        </w:rPr>
        <w:t xml:space="preserve">    （4）《南昌市财政局关于开展2021年度单位自评及部门评价工作的通知》（洪财绩〔2022〕1号）。</w:t>
      </w:r>
    </w:p>
    <w:p>
      <w:pPr>
        <w:pStyle w:val="4"/>
        <w:spacing w:line="600" w:lineRule="exact"/>
        <w:rPr>
          <w:rFonts w:ascii="仿宋" w:hAnsi="仿宋" w:eastAsia="仿宋" w:cs="仿宋_GB2312"/>
          <w:szCs w:val="32"/>
        </w:rPr>
      </w:pPr>
      <w:r>
        <w:rPr>
          <w:rFonts w:hint="eastAsia" w:ascii="仿宋" w:hAnsi="仿宋" w:eastAsia="仿宋" w:cs="仿宋_GB2312"/>
          <w:szCs w:val="32"/>
        </w:rPr>
        <w:t>评价方法：</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绩效评价的方法与指标体系围绕南昌市土地储备中心的任务、性质、功能和责任，从工作效率、服务质量、社会责任、经济管理和财务政策，市民与社会反响等角度建设该项目进行评价指标体系。</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2、评价指标体系</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根据财政部《预算绩效评价共性指标体系框架》等文化精神及本项目的具体特点，</w:t>
      </w:r>
      <w:r>
        <w:rPr>
          <w:rFonts w:hint="eastAsia" w:ascii="仿宋" w:hAnsi="仿宋" w:eastAsia="仿宋"/>
          <w:sz w:val="32"/>
          <w:szCs w:val="32"/>
        </w:rPr>
        <w:t>确定本次绩效评价指标的整体框架，包括执行率指标（资金落实）、产出指标（产出数量、产出质量、产出时效、产出成本）、效益指标（经济效益、社会效益、生态效益、可持续影响）、满意度指标（社会公众或服务对象满意度）。具体见下表：</w:t>
      </w:r>
    </w:p>
    <w:p>
      <w:pPr>
        <w:pStyle w:val="2"/>
        <w:rPr>
          <w:rFonts w:ascii="仿宋" w:hAnsi="仿宋" w:eastAsia="仿宋"/>
          <w:sz w:val="32"/>
          <w:szCs w:val="32"/>
        </w:rPr>
      </w:pPr>
    </w:p>
    <w:tbl>
      <w:tblPr>
        <w:tblStyle w:val="8"/>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099"/>
        <w:gridCol w:w="1320"/>
        <w:gridCol w:w="779"/>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940"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1099"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1320"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779"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4465"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940"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决策</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（15分）</w:t>
            </w:r>
          </w:p>
          <w:p>
            <w:pPr>
              <w:widowControl/>
              <w:spacing w:line="240" w:lineRule="exact"/>
              <w:jc w:val="center"/>
              <w:rPr>
                <w:rFonts w:ascii="黑体" w:hAnsi="宋体" w:eastAsia="黑体" w:cs="宋体"/>
                <w:color w:val="000000"/>
                <w:kern w:val="0"/>
                <w:sz w:val="20"/>
              </w:rPr>
            </w:pP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099"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项目立项（5分）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立项依据充分性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1、项目立项是否符合国家法律法规、国民经济发展规划和相关政策（0.5分）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2、项目立项是否符合行业发展规划和政策要求（0.5分）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3、项目立项是否与部门职责范围相符，属于部门履职所需（0.5分）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4、项目是否属于公共财政支持范围，是否符合中央、地方事权支出责任划分原则（0.5分）</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5、项目是否与相关部门同类项目或部门内部相关项目重复（0.5分）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立项程序规范性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1、项目是否按照规定的程序申请设立（0.8分）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2、审批文件、材料是否符合相关要求（0.8分）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3、事前是否已经过必要的可行性研究、专家论证、风险评估、绩效评估、集体决策（0.9分）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绩效目标（5分）　</w:t>
            </w:r>
          </w:p>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绩效目标合理性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1、项目是否有绩效目标（1.25分）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2、项目绩效目标与实际工作内容是否具有相关性（1.25分）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3、项目预期产出效益和效果是否符合正常的业绩水平（1.25分）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4、是否与预算确定的项目投资额或资金量相匹配（1.25分）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绩效指标明确性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1、是否将项目绩效目标细化分解为具体的绩效指标（2分）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2、是否通过清晰、可衡量的指标值予以体现（1.5分）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3、是否与项目目标任务数或计划数相对应（1.5分）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资金投入（5分）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预算编制科学性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1、预算编制是否经过科学论证（0.6分）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2、预算内容与项目内容是否匹配（0.7分）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3、预算额度测算依据是否充分，是否按照标准编制（0.6分）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4、预算确定的项目投资额或资金量是否与工作任务相匹配（0.6分）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资金分配合理性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1、预算资金分配依据是否充分（1.25分）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2、资金分配额度是否合理，与项目单位或地方实际是否相适应（1.25分）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40"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过程</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099"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资金管理（10分）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资金到位率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资金到位率=（实际到位资金/预算资金）×100%。（2.5分）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预算执行率</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预算执行率=（实际支出资金/实际到位资金）×100%。（2.5分）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资金使用合规性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1、是否符合国家财经法规和财务管理制度以及有关专项资金管理办法的规定（1.25分）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2、资金的拨付是否有完整的审批程序和手续（1.25分）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3、是否符合项目预算批复或合同规定的用途（1.25分）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4、是否存在截留、挤占、挪用、虚列支出等情况。（1.25分）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组织实施（5分）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管理制度健全性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1、是否已制定或具有相应的财务和业务管理制度（1.25分）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2、财务和业务管理制度是否合法、合规、完整（1.25分）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制度执行有效性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1、是否遵守相关法律法规和相关管理规定（0.6分）2、项目调整及支出调整手续是否完备（0.6分）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3、项目合同书、验收报告、技术鉴定等资料是否齐全并及时归档（0.6分）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4、项目实施的人员条件、场地设备、信息支撑等是否落实到位（0.6分）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40"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（35分）</w:t>
            </w: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产出数量（10分）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黑体" w:eastAsia="黑体" w:cs="黑体"/>
                <w:color w:val="000000"/>
                <w:kern w:val="0"/>
                <w:sz w:val="20"/>
              </w:rPr>
              <w:t>涉及土地出让4宗</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实际完成率=（实际产出数/计划产出数）×100%。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得分=实际完成率*分值权重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产出质量（10分）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黑体" w:eastAsia="黑体" w:cs="黑体"/>
                <w:color w:val="000000"/>
                <w:kern w:val="0"/>
                <w:sz w:val="20"/>
              </w:rPr>
              <w:t>洪都集团土地交付率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质量达标率=（质量达标产出数/实际产出数）×100%。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得分=质量达标率*分值权重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产出时效（5分）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工作完成及时率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时效及时率=（时效产出数/实际产出数）×100%。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得分=时效及时率*分值权重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产出成本（10分）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成本执行率100%</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成本控制率=（成本计划数/实际支出数）×100%。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得分=成本控制率*分支权重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（25分）　</w:t>
            </w:r>
          </w:p>
        </w:tc>
        <w:tc>
          <w:tcPr>
            <w:tcW w:w="1099"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宋体" w:eastAsia="黑体" w:cs="宋体"/>
                <w:color w:val="000000"/>
                <w:kern w:val="0"/>
                <w:sz w:val="20"/>
              </w:rPr>
              <w:t>经济效益</w:t>
            </w:r>
          </w:p>
          <w:p>
            <w:pPr>
              <w:widowControl/>
              <w:spacing w:line="240" w:lineRule="exact"/>
              <w:ind w:left="-63" w:leftChars="-30" w:right="-63" w:rightChars="-30"/>
              <w:jc w:val="center"/>
            </w:pPr>
            <w:r>
              <w:rPr>
                <w:rFonts w:hint="eastAsia" w:ascii="黑体" w:hAnsi="宋体" w:eastAsia="黑体" w:cs="宋体"/>
                <w:color w:val="000000"/>
                <w:kern w:val="0"/>
                <w:sz w:val="20"/>
              </w:rPr>
              <w:t>（5分）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土地出让金总额16.08亿元</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社会效益（10分）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资产收储处置工作推进机制完成率</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生态效益</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无</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可持续效益（10分）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持续推进后续工作开展</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（10分）</w:t>
            </w:r>
          </w:p>
        </w:tc>
        <w:tc>
          <w:tcPr>
            <w:tcW w:w="109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社会公众或服务对象满意度（10分）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政府满意度</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5"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03" w:type="dxa"/>
            <w:gridSpan w:val="5"/>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总分</w:t>
            </w:r>
          </w:p>
        </w:tc>
      </w:tr>
    </w:tbl>
    <w:p>
      <w:pPr>
        <w:pStyle w:val="2"/>
      </w:pPr>
    </w:p>
    <w:p>
      <w:pPr>
        <w:numPr>
          <w:ilvl w:val="0"/>
          <w:numId w:val="1"/>
        </w:numPr>
        <w:spacing w:line="600" w:lineRule="exact"/>
        <w:ind w:left="0" w:firstLine="640" w:firstLineChars="200"/>
        <w:rPr>
          <w:rFonts w:ascii="仿宋" w:hAnsi="仿宋" w:eastAsia="仿宋"/>
          <w:sz w:val="32"/>
          <w:szCs w:val="32"/>
        </w:rPr>
      </w:pPr>
      <w:r>
        <w:rPr>
          <w:rFonts w:hint="eastAsia" w:ascii="仿宋" w:hAnsi="仿宋" w:eastAsia="仿宋"/>
          <w:sz w:val="32"/>
          <w:szCs w:val="32"/>
        </w:rPr>
        <w:t>绩效评价工作过程</w:t>
      </w:r>
    </w:p>
    <w:p>
      <w:pPr>
        <w:ind w:firstLine="643" w:firstLineChars="200"/>
        <w:rPr>
          <w:rFonts w:ascii="仿宋" w:hAnsi="仿宋" w:eastAsia="仿宋"/>
          <w:sz w:val="32"/>
          <w:szCs w:val="32"/>
        </w:rPr>
      </w:pPr>
      <w:r>
        <w:rPr>
          <w:rFonts w:hint="eastAsia" w:ascii="仿宋" w:hAnsi="仿宋" w:eastAsia="仿宋"/>
          <w:b/>
          <w:sz w:val="32"/>
          <w:szCs w:val="32"/>
        </w:rPr>
        <w:t>1.工作部署阶段</w:t>
      </w:r>
    </w:p>
    <w:p>
      <w:pPr>
        <w:pStyle w:val="10"/>
        <w:ind w:firstLine="640"/>
        <w:rPr>
          <w:rFonts w:ascii="仿宋" w:hAnsi="仿宋" w:eastAsia="仿宋"/>
          <w:sz w:val="32"/>
          <w:szCs w:val="32"/>
        </w:rPr>
      </w:pPr>
      <w:r>
        <w:rPr>
          <w:rFonts w:hint="eastAsia" w:ascii="仿宋" w:hAnsi="仿宋" w:eastAsia="仿宋"/>
          <w:sz w:val="32"/>
          <w:szCs w:val="32"/>
        </w:rPr>
        <w:t>为了做好绩效评价工作，规范和加强专项资金管理，切实提高专项资金的使用绩效和管理水平，市</w:t>
      </w:r>
      <w:r>
        <w:rPr>
          <w:rFonts w:hint="eastAsia" w:ascii="仿宋" w:hAnsi="仿宋" w:eastAsia="仿宋"/>
          <w:sz w:val="32"/>
          <w:szCs w:val="32"/>
          <w:lang w:eastAsia="zh-CN"/>
        </w:rPr>
        <w:t>自然资源和规划局</w:t>
      </w:r>
      <w:r>
        <w:rPr>
          <w:rFonts w:hint="eastAsia" w:ascii="仿宋" w:hAnsi="仿宋" w:eastAsia="仿宋"/>
          <w:sz w:val="32"/>
          <w:szCs w:val="32"/>
        </w:rPr>
        <w:t>成立了绩效评价工作领导小组，领导小组下设办公室。</w:t>
      </w:r>
      <w:r>
        <w:rPr>
          <w:rFonts w:hint="eastAsia" w:ascii="仿宋" w:hAnsi="仿宋" w:eastAsia="仿宋"/>
          <w:sz w:val="32"/>
          <w:szCs w:val="32"/>
          <w:lang w:eastAsia="zh-CN"/>
        </w:rPr>
        <w:t>并</w:t>
      </w:r>
      <w:r>
        <w:rPr>
          <w:rFonts w:hint="eastAsia" w:ascii="仿宋" w:hAnsi="仿宋" w:eastAsia="仿宋"/>
          <w:sz w:val="32"/>
          <w:szCs w:val="32"/>
        </w:rPr>
        <w:t>组织项目实施科室</w:t>
      </w:r>
      <w:r>
        <w:rPr>
          <w:rFonts w:hint="eastAsia" w:ascii="仿宋" w:hAnsi="仿宋" w:eastAsia="仿宋"/>
          <w:sz w:val="32"/>
          <w:szCs w:val="32"/>
          <w:lang w:eastAsia="zh-CN"/>
        </w:rPr>
        <w:t>及项目绩效评价人员</w:t>
      </w:r>
      <w:r>
        <w:rPr>
          <w:rFonts w:hint="eastAsia" w:ascii="仿宋" w:hAnsi="仿宋" w:eastAsia="仿宋"/>
          <w:sz w:val="32"/>
          <w:szCs w:val="32"/>
        </w:rPr>
        <w:t>深入学习财政部《关于印发&lt;预算绩效评价共性指标体系框架&gt;的通知》（财预[201</w:t>
      </w:r>
      <w:r>
        <w:rPr>
          <w:rFonts w:hint="eastAsia" w:ascii="仿宋" w:hAnsi="仿宋" w:eastAsia="仿宋"/>
          <w:sz w:val="32"/>
          <w:szCs w:val="32"/>
          <w:lang w:val="en-US" w:eastAsia="zh-CN"/>
        </w:rPr>
        <w:t>3</w:t>
      </w:r>
      <w:r>
        <w:rPr>
          <w:rFonts w:hint="eastAsia" w:ascii="仿宋" w:hAnsi="仿宋" w:eastAsia="仿宋"/>
          <w:sz w:val="32"/>
          <w:szCs w:val="32"/>
        </w:rPr>
        <w:t>]53号）、市政府《关于印发&lt;南昌市财政支出绩效评价管理办法（试行）&gt;的通知》（洪府发[201</w:t>
      </w:r>
      <w:r>
        <w:rPr>
          <w:rFonts w:hint="eastAsia" w:ascii="仿宋" w:hAnsi="仿宋" w:eastAsia="仿宋"/>
          <w:sz w:val="32"/>
          <w:szCs w:val="32"/>
          <w:lang w:val="en-US" w:eastAsia="zh-CN"/>
        </w:rPr>
        <w:t>4</w:t>
      </w:r>
      <w:r>
        <w:rPr>
          <w:rFonts w:hint="eastAsia" w:ascii="仿宋" w:hAnsi="仿宋" w:eastAsia="仿宋"/>
          <w:sz w:val="32"/>
          <w:szCs w:val="32"/>
        </w:rPr>
        <w:t>]8号）、中共南昌市委 南昌市人民政府《关于全面实施预算绩效管理的实施意见》(洪发[2019]13号)和《南昌市财政局关于开展2021年度单位自评及部门评价工作的通知》（洪财绩[20</w:t>
      </w:r>
      <w:r>
        <w:rPr>
          <w:rFonts w:hint="eastAsia" w:ascii="仿宋" w:hAnsi="仿宋" w:eastAsia="仿宋"/>
          <w:sz w:val="32"/>
          <w:szCs w:val="32"/>
          <w:lang w:val="en-US" w:eastAsia="zh-CN"/>
        </w:rPr>
        <w:t>22</w:t>
      </w:r>
      <w:r>
        <w:rPr>
          <w:rFonts w:hint="eastAsia" w:ascii="仿宋" w:hAnsi="仿宋" w:eastAsia="仿宋"/>
          <w:sz w:val="32"/>
          <w:szCs w:val="32"/>
        </w:rPr>
        <w:t>]1号）文件，认真研究项目目标的特点，以及市财政局提出的绩效评价指标设计要求，</w:t>
      </w:r>
      <w:r>
        <w:rPr>
          <w:rFonts w:hint="eastAsia" w:ascii="仿宋" w:hAnsi="仿宋" w:eastAsia="仿宋"/>
          <w:sz w:val="32"/>
          <w:szCs w:val="32"/>
          <w:lang w:eastAsia="zh-CN"/>
        </w:rPr>
        <w:t>结合</w:t>
      </w:r>
      <w:r>
        <w:rPr>
          <w:rFonts w:hint="eastAsia" w:ascii="仿宋" w:hAnsi="仿宋" w:eastAsia="仿宋"/>
          <w:sz w:val="32"/>
          <w:szCs w:val="32"/>
        </w:rPr>
        <w:t>绩效评价指标体系，分绩效评价个性指标及评价标准。</w:t>
      </w:r>
    </w:p>
    <w:p>
      <w:pPr>
        <w:ind w:firstLine="643" w:firstLineChars="200"/>
        <w:rPr>
          <w:rFonts w:ascii="仿宋" w:hAnsi="仿宋" w:eastAsia="仿宋"/>
          <w:b/>
          <w:sz w:val="32"/>
          <w:szCs w:val="32"/>
        </w:rPr>
      </w:pPr>
      <w:r>
        <w:rPr>
          <w:rFonts w:hint="eastAsia" w:ascii="仿宋" w:hAnsi="仿宋" w:eastAsia="仿宋"/>
          <w:b/>
          <w:sz w:val="32"/>
          <w:szCs w:val="32"/>
        </w:rPr>
        <w:t>2.数据采集阶段</w:t>
      </w:r>
    </w:p>
    <w:p>
      <w:pPr>
        <w:pStyle w:val="10"/>
        <w:ind w:firstLine="640"/>
        <w:rPr>
          <w:rFonts w:ascii="仿宋" w:hAnsi="仿宋" w:eastAsia="仿宋"/>
          <w:sz w:val="32"/>
          <w:szCs w:val="32"/>
        </w:rPr>
      </w:pPr>
      <w:r>
        <w:rPr>
          <w:rFonts w:hint="eastAsia" w:ascii="仿宋" w:hAnsi="仿宋" w:eastAsia="仿宋"/>
          <w:sz w:val="32"/>
          <w:szCs w:val="32"/>
        </w:rPr>
        <w:t>各项目实施科室认真做好基础资料和相关数据的收集、整理工作，根据收集的数据资料，详细填报绩效</w:t>
      </w:r>
      <w:r>
        <w:rPr>
          <w:rFonts w:hint="eastAsia" w:ascii="仿宋" w:hAnsi="仿宋" w:eastAsia="仿宋"/>
          <w:sz w:val="32"/>
          <w:szCs w:val="32"/>
          <w:lang w:eastAsia="zh-CN"/>
        </w:rPr>
        <w:t>评价</w:t>
      </w:r>
      <w:r>
        <w:rPr>
          <w:rFonts w:hint="eastAsia" w:ascii="仿宋" w:hAnsi="仿宋" w:eastAsia="仿宋"/>
          <w:sz w:val="32"/>
          <w:szCs w:val="32"/>
        </w:rPr>
        <w:t>相关报表。</w:t>
      </w:r>
    </w:p>
    <w:p>
      <w:pPr>
        <w:ind w:firstLine="643" w:firstLineChars="200"/>
        <w:rPr>
          <w:rFonts w:ascii="仿宋" w:hAnsi="仿宋" w:eastAsia="仿宋"/>
          <w:b/>
          <w:sz w:val="32"/>
          <w:szCs w:val="32"/>
        </w:rPr>
      </w:pPr>
      <w:r>
        <w:rPr>
          <w:rFonts w:hint="eastAsia" w:ascii="仿宋" w:hAnsi="仿宋" w:eastAsia="仿宋"/>
          <w:b/>
          <w:sz w:val="32"/>
          <w:szCs w:val="32"/>
        </w:rPr>
        <w:t>3.单位评</w:t>
      </w:r>
      <w:r>
        <w:rPr>
          <w:rFonts w:hint="eastAsia" w:ascii="仿宋" w:hAnsi="仿宋" w:eastAsia="仿宋"/>
          <w:b/>
          <w:sz w:val="32"/>
          <w:szCs w:val="32"/>
          <w:lang w:eastAsia="zh-CN"/>
        </w:rPr>
        <w:t>价</w:t>
      </w:r>
      <w:r>
        <w:rPr>
          <w:rFonts w:hint="eastAsia" w:ascii="仿宋" w:hAnsi="仿宋" w:eastAsia="仿宋"/>
          <w:b/>
          <w:sz w:val="32"/>
          <w:szCs w:val="32"/>
        </w:rPr>
        <w:t>阶段</w:t>
      </w:r>
    </w:p>
    <w:p>
      <w:pPr>
        <w:pStyle w:val="10"/>
        <w:ind w:firstLine="640"/>
        <w:rPr>
          <w:rFonts w:ascii="仿宋" w:hAnsi="仿宋" w:eastAsia="仿宋"/>
          <w:sz w:val="32"/>
          <w:szCs w:val="32"/>
        </w:rPr>
      </w:pPr>
      <w:r>
        <w:rPr>
          <w:rFonts w:hint="eastAsia" w:ascii="仿宋" w:hAnsi="仿宋" w:eastAsia="仿宋"/>
          <w:sz w:val="32"/>
          <w:szCs w:val="32"/>
        </w:rPr>
        <w:t>各项目实施科室根据有关数据及评价标准，进行数据分析，根据市土储中心制定的《南昌市土地储备中心项目绩效评价指标体系》，对各自的子项目逐个填写 “项目支出绩效</w:t>
      </w:r>
      <w:r>
        <w:rPr>
          <w:rFonts w:hint="eastAsia" w:ascii="仿宋" w:hAnsi="仿宋" w:eastAsia="仿宋"/>
          <w:sz w:val="32"/>
          <w:szCs w:val="32"/>
          <w:lang w:eastAsia="zh-CN"/>
        </w:rPr>
        <w:t>评价</w:t>
      </w:r>
      <w:r>
        <w:rPr>
          <w:rFonts w:hint="eastAsia" w:ascii="仿宋" w:hAnsi="仿宋" w:eastAsia="仿宋"/>
          <w:sz w:val="32"/>
          <w:szCs w:val="32"/>
        </w:rPr>
        <w:t>表”，进行</w:t>
      </w:r>
      <w:r>
        <w:rPr>
          <w:rFonts w:hint="eastAsia" w:ascii="仿宋" w:hAnsi="仿宋" w:eastAsia="仿宋"/>
          <w:sz w:val="32"/>
          <w:szCs w:val="32"/>
          <w:lang w:eastAsia="zh-CN"/>
        </w:rPr>
        <w:t>评价</w:t>
      </w:r>
      <w:r>
        <w:rPr>
          <w:rFonts w:hint="eastAsia" w:ascii="仿宋" w:hAnsi="仿宋" w:eastAsia="仿宋"/>
          <w:sz w:val="32"/>
          <w:szCs w:val="32"/>
        </w:rPr>
        <w:t>打分，得出各子项目的</w:t>
      </w:r>
      <w:r>
        <w:rPr>
          <w:rFonts w:hint="eastAsia" w:ascii="仿宋" w:hAnsi="仿宋" w:eastAsia="仿宋"/>
          <w:sz w:val="32"/>
          <w:szCs w:val="32"/>
          <w:lang w:eastAsia="zh-CN"/>
        </w:rPr>
        <w:t>绩效评价</w:t>
      </w:r>
      <w:r>
        <w:rPr>
          <w:rFonts w:hint="eastAsia" w:ascii="仿宋" w:hAnsi="仿宋" w:eastAsia="仿宋"/>
          <w:sz w:val="32"/>
          <w:szCs w:val="32"/>
        </w:rPr>
        <w:t>分数，并形成书面项目支出绩效评价报告，将“项目支出绩效评价报告”、“项目支出绩效评</w:t>
      </w:r>
      <w:r>
        <w:rPr>
          <w:rFonts w:hint="eastAsia" w:ascii="仿宋" w:hAnsi="仿宋" w:eastAsia="仿宋"/>
          <w:sz w:val="32"/>
          <w:szCs w:val="32"/>
          <w:lang w:eastAsia="zh-CN"/>
        </w:rPr>
        <w:t>价</w:t>
      </w:r>
      <w:r>
        <w:rPr>
          <w:rFonts w:hint="eastAsia" w:ascii="仿宋" w:hAnsi="仿宋" w:eastAsia="仿宋"/>
          <w:sz w:val="32"/>
          <w:szCs w:val="32"/>
        </w:rPr>
        <w:t>表”等纸质版、电子版材料上报至市</w:t>
      </w:r>
      <w:r>
        <w:rPr>
          <w:rFonts w:hint="eastAsia" w:ascii="仿宋" w:hAnsi="仿宋" w:eastAsia="仿宋"/>
          <w:sz w:val="32"/>
          <w:szCs w:val="32"/>
          <w:lang w:eastAsia="zh-CN"/>
        </w:rPr>
        <w:t>自然资源和规划局</w:t>
      </w:r>
      <w:r>
        <w:rPr>
          <w:rFonts w:hint="eastAsia" w:ascii="仿宋" w:hAnsi="仿宋" w:eastAsia="仿宋"/>
          <w:sz w:val="32"/>
          <w:szCs w:val="32"/>
        </w:rPr>
        <w:t>绩效评价工作领导小组办公室。</w:t>
      </w:r>
    </w:p>
    <w:p>
      <w:pPr>
        <w:ind w:firstLine="643" w:firstLineChars="200"/>
        <w:rPr>
          <w:rFonts w:ascii="仿宋" w:hAnsi="仿宋" w:eastAsia="仿宋"/>
          <w:b/>
          <w:sz w:val="32"/>
          <w:szCs w:val="32"/>
        </w:rPr>
      </w:pPr>
      <w:r>
        <w:rPr>
          <w:rFonts w:hint="eastAsia" w:ascii="仿宋" w:hAnsi="仿宋" w:eastAsia="仿宋"/>
          <w:b/>
          <w:sz w:val="32"/>
          <w:szCs w:val="32"/>
        </w:rPr>
        <w:t>4.集中复核阶段</w:t>
      </w:r>
    </w:p>
    <w:p>
      <w:pPr>
        <w:pStyle w:val="10"/>
        <w:ind w:firstLine="640"/>
        <w:rPr>
          <w:rFonts w:ascii="仿宋" w:hAnsi="仿宋" w:eastAsia="仿宋"/>
          <w:sz w:val="32"/>
          <w:szCs w:val="32"/>
        </w:rPr>
      </w:pPr>
      <w:r>
        <w:rPr>
          <w:rFonts w:hint="eastAsia" w:ascii="仿宋" w:hAnsi="仿宋" w:eastAsia="仿宋"/>
          <w:sz w:val="32"/>
          <w:szCs w:val="32"/>
        </w:rPr>
        <w:t>市</w:t>
      </w:r>
      <w:r>
        <w:rPr>
          <w:rFonts w:hint="eastAsia" w:ascii="仿宋" w:hAnsi="仿宋" w:eastAsia="仿宋"/>
          <w:sz w:val="32"/>
          <w:szCs w:val="32"/>
          <w:lang w:eastAsia="zh-CN"/>
        </w:rPr>
        <w:t>自然资源和规划局</w:t>
      </w:r>
      <w:r>
        <w:rPr>
          <w:rFonts w:hint="eastAsia" w:ascii="仿宋" w:hAnsi="仿宋" w:eastAsia="仿宋"/>
          <w:sz w:val="32"/>
          <w:szCs w:val="32"/>
        </w:rPr>
        <w:t>绩效评价工作小组对各项目实施科室报送的“项目支出绩效评价报告”和“项目支出绩效评</w:t>
      </w:r>
      <w:r>
        <w:rPr>
          <w:rFonts w:hint="eastAsia" w:ascii="仿宋" w:hAnsi="仿宋" w:eastAsia="仿宋"/>
          <w:sz w:val="32"/>
          <w:szCs w:val="32"/>
          <w:lang w:eastAsia="zh-CN"/>
        </w:rPr>
        <w:t>价</w:t>
      </w:r>
      <w:r>
        <w:rPr>
          <w:rFonts w:hint="eastAsia" w:ascii="仿宋" w:hAnsi="仿宋" w:eastAsia="仿宋"/>
          <w:sz w:val="32"/>
          <w:szCs w:val="32"/>
        </w:rPr>
        <w:t>表”等资料进行了仔细复核、汇总，并抽查部分银行凭单、会计凭证、成果文件等，召开座谈会、与项目实施部门（科室）询问查证、问卷调查，对确认后的数据、资料、图册、文件进行分析，评出子项目部门评价分数，形成市土储中心《2021年度项目资金汇总表》，撰写了市土储中心《2021年度老城区剩余土地及地上、地下附着物收储征收价款资金项目支出绩效评价报告》。</w:t>
      </w:r>
    </w:p>
    <w:p>
      <w:pPr>
        <w:pStyle w:val="10"/>
        <w:ind w:firstLine="643"/>
        <w:rPr>
          <w:rFonts w:ascii="仿宋" w:hAnsi="仿宋" w:eastAsia="仿宋"/>
          <w:b/>
          <w:sz w:val="32"/>
          <w:szCs w:val="32"/>
        </w:rPr>
      </w:pPr>
      <w:r>
        <w:rPr>
          <w:rFonts w:hint="eastAsia" w:ascii="仿宋" w:hAnsi="仿宋" w:eastAsia="仿宋"/>
          <w:b/>
          <w:sz w:val="32"/>
          <w:szCs w:val="32"/>
        </w:rPr>
        <w:t>5、整改落实阶段</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部门绩效评价工作结束后，及时对2021年度老城区剩余土地及地上、地下附着物收储征收价款资金项目实施中存在的问题进行梳理，形成汇总分析报告，并以整改通知书的形式督促存在问题的项目实施科室进行整改，整改落实情况的报告报市</w:t>
      </w:r>
      <w:r>
        <w:rPr>
          <w:rFonts w:hint="eastAsia" w:ascii="仿宋" w:hAnsi="仿宋" w:eastAsia="仿宋"/>
          <w:sz w:val="32"/>
          <w:szCs w:val="32"/>
          <w:lang w:eastAsia="zh-CN"/>
        </w:rPr>
        <w:t>自然资源和规划局</w:t>
      </w:r>
      <w:r>
        <w:rPr>
          <w:rFonts w:hint="eastAsia" w:ascii="仿宋" w:hAnsi="仿宋" w:eastAsia="仿宋"/>
          <w:sz w:val="32"/>
          <w:szCs w:val="32"/>
        </w:rPr>
        <w:t>绩效评价工作领导小组办公室，并作为</w:t>
      </w:r>
      <w:r>
        <w:rPr>
          <w:rFonts w:hint="eastAsia" w:ascii="仿宋" w:hAnsi="仿宋" w:eastAsia="仿宋"/>
          <w:sz w:val="32"/>
          <w:szCs w:val="32"/>
          <w:lang w:eastAsia="zh-CN"/>
        </w:rPr>
        <w:t>市土储中心</w:t>
      </w:r>
      <w:r>
        <w:rPr>
          <w:rFonts w:hint="eastAsia" w:ascii="仿宋" w:hAnsi="仿宋" w:eastAsia="仿宋"/>
          <w:sz w:val="32"/>
          <w:szCs w:val="32"/>
        </w:rPr>
        <w:t>内部绩效考核（含科室及个人评优评先）的重要依据。</w:t>
      </w:r>
    </w:p>
    <w:p>
      <w:pPr>
        <w:numPr>
          <w:ilvl w:val="0"/>
          <w:numId w:val="2"/>
        </w:numPr>
        <w:spacing w:line="600" w:lineRule="exact"/>
        <w:ind w:firstLine="640" w:firstLineChars="200"/>
        <w:rPr>
          <w:rFonts w:ascii="仿宋" w:hAnsi="仿宋" w:eastAsia="仿宋"/>
          <w:sz w:val="32"/>
          <w:szCs w:val="32"/>
        </w:rPr>
      </w:pPr>
      <w:r>
        <w:rPr>
          <w:rFonts w:hint="eastAsia" w:ascii="仿宋" w:hAnsi="仿宋" w:eastAsia="仿宋"/>
          <w:sz w:val="32"/>
          <w:szCs w:val="32"/>
        </w:rPr>
        <w:t>综合评价情况及评价结论</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根据《2021年南昌市土地储备中心“老城区剩余土地及地上、地下附着物收储征收价款”项目支出绩效自评表》,</w:t>
      </w:r>
      <w:r>
        <w:rPr>
          <w:rFonts w:hint="eastAsia" w:ascii="仿宋" w:hAnsi="仿宋" w:eastAsia="仿宋" w:cs="仿宋"/>
          <w:color w:val="000000"/>
          <w:sz w:val="32"/>
          <w:szCs w:val="32"/>
        </w:rPr>
        <w:t>围绕绩效评价指标体系，通过数据采集分析，实地检查及电话回访等方式，对该项目绩效进行了客观、公开的评价，最终评价结果为98分，评价等级为优</w:t>
      </w:r>
      <w:r>
        <w:rPr>
          <w:rFonts w:hint="eastAsia" w:ascii="仿宋" w:hAnsi="仿宋" w:eastAsia="仿宋"/>
          <w:sz w:val="32"/>
          <w:szCs w:val="32"/>
        </w:rPr>
        <w:t>。评分详情见下表：</w:t>
      </w:r>
    </w:p>
    <w:tbl>
      <w:tblPr>
        <w:tblStyle w:val="8"/>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02"/>
        <w:gridCol w:w="1320"/>
        <w:gridCol w:w="779"/>
        <w:gridCol w:w="4461"/>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942"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1102"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1320"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779"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4461"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787" w:type="dxa"/>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94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决策</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（15分）</w:t>
            </w:r>
          </w:p>
          <w:p>
            <w:pPr>
              <w:widowControl/>
              <w:spacing w:line="240" w:lineRule="exact"/>
              <w:jc w:val="center"/>
              <w:rPr>
                <w:rFonts w:ascii="黑体" w:hAnsi="宋体" w:eastAsia="黑体" w:cs="宋体"/>
                <w:color w:val="000000"/>
                <w:kern w:val="0"/>
                <w:sz w:val="20"/>
              </w:rPr>
            </w:pP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10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项目立项（5分）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立项依据充分性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1、项目立项是否符合国家法律法规、国民经济发展规划和相关政策（0.5分）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2、项目立项是否符合行业发展规划和政策要求（0.5分）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3、项目立项是否与部门职责范围相符，属于部门履职所需（0.5分）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4、项目是否属于公共财政支持范围，是否符合中央、地方事权支出责任划分原则（0.5分）</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5、项目是否与相关部门同类项目或部门内部相关项目重复（0.5分）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立项程序规范性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1、项目是否按照规定的程序申请设立（0.8分）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2、审批文件、材料是否符合相关要求（0.8分）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3、事前是否已经过必要的可行性研究、专家论证、风险评估、绩效评估、集体决策（0.9分）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绩效目标（5分）　</w:t>
            </w:r>
          </w:p>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绩效目标合理性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1、项目是否有绩效目标（1.25分）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2、项目绩效目标与实际工作内容是否具有相关性（1.25分）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3、项目预期产出效益和效果是否符合正常的业绩水平（1.25分）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4、是否与预算确定的项目投资额或资金量相匹配（1.25分）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绩效指标明确性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1、是否将项目绩效目标细化分解为具体的绩效指标（2分）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2、是否通过清晰、可衡量的指标值予以体现（1.5分）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3、是否与项目目标任务数或计划数相对应（1.5分）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资金投入（5分）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预算编制科学性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1、预算编制是否经过科学论证（0.6分）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2、预算内容与项目内容是否匹配（0.7分）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3、预算额度测算依据是否充分，是否按照标准编制（0.6分）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4、预算确定的项目投资额或资金量是否与工作任务相匹配（0.6分）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资金分配合理性</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1、预算资金分配依据是否充分（1.25分）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2、资金分配额度是否合理，与项目单位或地方实际是否相适应（1.25分）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4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过程</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10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资金管理（10分）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资金到位率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资金到位率=（实际到位资金/预算资金）×100%。（2.5分）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预算执行率</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预算执行率=（实际支出资金/实际到位资金）×100%。（2.5分）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资金使用合规性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1、是否符合国家财经法规和财务管理制度以及有关专项资金管理办法的规定（1.25分）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2、资金的拨付是否有完整的审批程序和手续（1.25分）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3、是否符合项目预算批复或合同规定的用途（1.25分）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4、是否存在截留、挤占、挪用、虚列支出等情况。（1.25分）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组织实施（5分）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　</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管理制度健全性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1、是否已制定或具有相应的财务和业务管理制度（1.25分）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2、财务和业务管理制度是否合法、合规、完整（1.25分）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制度执行有效性</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1、是否遵守相关法律法规和相关管理规定（0.6分）2、项目调整及支出调整手续是否完备（0.6分）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3、项目合同书、验收报告、技术鉴定等资料是否齐全并及时归档（0.6分）</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4、项目实施的人员条件、场地设备、信息支撑等是否落实到位（0.6分）</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4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（35分）</w:t>
            </w: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产出数量（10分）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黑体" w:eastAsia="黑体" w:cs="黑体"/>
                <w:color w:val="000000"/>
                <w:kern w:val="0"/>
                <w:sz w:val="20"/>
              </w:rPr>
              <w:t>涉及土地出让4宗</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实际完成率=（实际产出数/计划产出数）×100%。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得分=实际完成率*分值权重</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产出质量（10分）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黑体" w:eastAsia="黑体" w:cs="黑体"/>
                <w:color w:val="000000"/>
                <w:kern w:val="0"/>
                <w:sz w:val="20"/>
              </w:rPr>
              <w:t>洪都集团土地交付率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质量达标率=（质量达标产出数/实际产出数）×100%。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得分=质量达标率*分值权重</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产出时效（5分）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工作完成及时率</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时效及时率=（时效产出数/实际产出数）×100%。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得分=时效及时率*分值权重</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产出成本（10分）</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成本执行率100%</w:t>
            </w:r>
          </w:p>
        </w:tc>
        <w:tc>
          <w:tcPr>
            <w:tcW w:w="779"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成本控制率=（成本计划数/实际支出数）×100%。</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得分=成本控制率*分支权重</w:t>
            </w:r>
          </w:p>
        </w:tc>
        <w:tc>
          <w:tcPr>
            <w:tcW w:w="787" w:type="dxa"/>
            <w:shd w:val="clear" w:color="000000"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vMerge w:val="restart"/>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（25分）　</w:t>
            </w:r>
          </w:p>
        </w:tc>
        <w:tc>
          <w:tcPr>
            <w:tcW w:w="1102"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宋体" w:eastAsia="黑体" w:cs="宋体"/>
                <w:color w:val="000000"/>
                <w:kern w:val="0"/>
                <w:sz w:val="20"/>
              </w:rPr>
              <w:t>经济效益</w:t>
            </w:r>
          </w:p>
          <w:p>
            <w:pPr>
              <w:widowControl/>
              <w:spacing w:line="240" w:lineRule="exact"/>
              <w:ind w:left="-63" w:leftChars="-30" w:right="-63" w:rightChars="-30"/>
              <w:jc w:val="center"/>
            </w:pPr>
            <w:r>
              <w:rPr>
                <w:rFonts w:hint="eastAsia" w:ascii="黑体" w:hAnsi="宋体" w:eastAsia="黑体" w:cs="宋体"/>
                <w:color w:val="000000"/>
                <w:kern w:val="0"/>
                <w:sz w:val="20"/>
              </w:rPr>
              <w:t>（5分）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土地出让金总额16.08亿元</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社会效益（10分）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资产收储处置工作推进机制完成率</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生态效益</w:t>
            </w:r>
          </w:p>
        </w:tc>
        <w:tc>
          <w:tcPr>
            <w:tcW w:w="1320"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无</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vMerge w:val="continue"/>
            <w:shd w:val="clear" w:color="auto" w:fill="FFFFFF"/>
            <w:vAlign w:val="center"/>
          </w:tcPr>
          <w:p>
            <w:pPr>
              <w:widowControl/>
              <w:spacing w:line="240" w:lineRule="exact"/>
              <w:jc w:val="center"/>
              <w:rPr>
                <w:rFonts w:ascii="黑体" w:hAnsi="宋体" w:eastAsia="黑体" w:cs="宋体"/>
                <w:color w:val="000000"/>
                <w:kern w:val="0"/>
                <w:sz w:val="20"/>
              </w:rPr>
            </w:pP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可持续效益（10分）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持续推进后续工作开展</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（10分）</w:t>
            </w:r>
          </w:p>
        </w:tc>
        <w:tc>
          <w:tcPr>
            <w:tcW w:w="1102"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社会公众或服务对象满意度（10分）</w:t>
            </w:r>
          </w:p>
        </w:tc>
        <w:tc>
          <w:tcPr>
            <w:tcW w:w="1320" w:type="dxa"/>
            <w:shd w:val="clear" w:color="auto" w:fill="FFFFFF"/>
            <w:vAlign w:val="center"/>
          </w:tcPr>
          <w:p>
            <w:pPr>
              <w:widowControl/>
              <w:spacing w:line="240" w:lineRule="exact"/>
              <w:ind w:left="-63" w:leftChars="-30" w:right="-63" w:rightChars="-30"/>
              <w:jc w:val="center"/>
              <w:rPr>
                <w:rFonts w:ascii="黑体" w:hAnsi="宋体" w:eastAsia="黑体" w:cs="宋体"/>
                <w:color w:val="000000"/>
                <w:kern w:val="0"/>
                <w:sz w:val="20"/>
              </w:rPr>
            </w:pPr>
            <w:r>
              <w:rPr>
                <w:rFonts w:hint="eastAsia" w:ascii="黑体" w:hAnsi="黑体" w:eastAsia="黑体" w:cs="黑体"/>
                <w:color w:val="000000"/>
                <w:kern w:val="0"/>
                <w:sz w:val="20"/>
              </w:rPr>
              <w:t>政府满意度</w:t>
            </w:r>
          </w:p>
        </w:tc>
        <w:tc>
          <w:tcPr>
            <w:tcW w:w="779"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c>
          <w:tcPr>
            <w:tcW w:w="4461"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达到或超过预期值得满分，未达到预期值按比例扣分。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04" w:type="dxa"/>
            <w:gridSpan w:val="5"/>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总分</w:t>
            </w:r>
          </w:p>
        </w:tc>
        <w:tc>
          <w:tcPr>
            <w:tcW w:w="787" w:type="dxa"/>
            <w:shd w:val="clear" w:color="auto" w:fill="FFFFFF"/>
            <w:vAlign w:val="center"/>
          </w:tcPr>
          <w:p>
            <w:pPr>
              <w:widowControl/>
              <w:spacing w:line="240" w:lineRule="exact"/>
              <w:jc w:val="center"/>
              <w:rPr>
                <w:rFonts w:ascii="黑体" w:hAnsi="宋体" w:eastAsia="黑体" w:cs="宋体"/>
                <w:color w:val="000000"/>
                <w:kern w:val="0"/>
                <w:sz w:val="20"/>
              </w:rPr>
            </w:pPr>
            <w:r>
              <w:rPr>
                <w:rFonts w:hint="eastAsia" w:ascii="黑体" w:hAnsi="宋体" w:eastAsia="黑体" w:cs="宋体"/>
                <w:color w:val="000000"/>
                <w:kern w:val="0"/>
                <w:sz w:val="20"/>
              </w:rPr>
              <w:t>98</w:t>
            </w:r>
          </w:p>
        </w:tc>
      </w:tr>
    </w:tbl>
    <w:p>
      <w:pPr>
        <w:spacing w:line="600" w:lineRule="exact"/>
        <w:ind w:firstLine="640" w:firstLineChars="200"/>
        <w:rPr>
          <w:rFonts w:ascii="仿宋" w:hAnsi="仿宋" w:eastAsia="仿宋"/>
          <w:sz w:val="32"/>
          <w:szCs w:val="32"/>
        </w:rPr>
      </w:pPr>
      <w:r>
        <w:rPr>
          <w:rFonts w:hint="eastAsia" w:ascii="仿宋" w:hAnsi="仿宋" w:eastAsia="仿宋"/>
          <w:sz w:val="32"/>
          <w:szCs w:val="32"/>
        </w:rPr>
        <w:t>四、绩效评价指标分析</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（一）项目决策情况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1、项目立项</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立项依据充分性：1、本单位项目立项符合国家法律法规、国民经济发展规划和相关政策，本次得分0.5分；2、项目立项符合行业发展规划和政策要求，本次得分0.5分；3、项目立项与部门职责范围相符，属于部门履职所需，本次得分0.5分；4、项目属于公共财政支持范围，符合中央、地方事权支出责任划分原则，本次得分0.5分；5、项目与相关部门同类项目或部门内部相关项目不重复，本次得分0.5分。</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立项程序规范性：1、项目按照规定的程序申请设立，得0.8分；2、审批文件、材料符合相关要求，本次得分0.8分；3、事前经过必要的可行性研究、风险评估、绩效评估、集体决策，本次得分0.9分。</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2、绩效目标</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绩效目标合理性：1、本项目有绩效目标，本次得分1.25分；2、项目绩效目标与实际工作内容具有相关性，本次得分1.25分；3、项目预期产出效益和效果符合正常的业绩水平，本次得分1.25分；4、本项目与预算确定的项目投资额或资金量相匹配，本次得分1.25分。</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绩效指标明确性：1、本年度将项目绩效目标细化分解为具体的绩效指标，本次得分2分；2、本项目通过清晰、可衡量的指标值予以体现，本次得分1.5分；3、本项目与项目目标任务数或计划数相对应，本次得分1.5分。</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3、资金投入</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预算编制科学性：1、预算编制经过科学论证，本次得分0.6分；2、预算内容与项目内容相匹配，本次得分0.7分；3、预算额度测算依据充分，按照标准编制，本次得分0.6分；4、预算确定的项目投资额或资金量与工作任务相匹配，本次得分0.6分。</w:t>
      </w:r>
    </w:p>
    <w:p>
      <w:pPr>
        <w:spacing w:line="60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资金分配合理性：1、预算资金分配依据充分合理，本次得分1.25分；2、资金分配额度合理，与项目单位或地方实际相适应，本次得分1.25分。</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（二）项目过程情况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1、资金管理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资金到位率：2021年市财政预算安排资金113100万元，截止2021年12月31日市财政下拨113100万元，资金到位率100%，本次得分2.5分。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预算执行率：2021年市财政预算安排资金113100万元，截止2021年12月31日本单位实际支出113100万元，资金预算执行率为100%，本次得分2.5分。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使用合规性：1、本单位项目实施符合国家财经法规和财务管理制度以及有关专项资金管理办法的规定，本次得分1.25分；2、资金的拨付有完整的审批程序和手续，本次得分1.25分；3、符合项目预算批复或合同规定的用途，本次得分1.25分；4、不存在截留、挤占、挪用、虚列支出等情况，本次得分1.25分。</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2、组织实施</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管理制度健全性：1、已制定或具有相应的财务和业务管理制度，本次得分1.25分；2、财务和业务管理制度合法、合规、完整，本次得分1.25分。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制度执行有效性：1、本单位项目支出遵守相关法律法规和相关管理规定，本次得分0.6分；2、项目调整及支出调整手续完备，本次得分0.6分；3、项目合同书、验收报告、技术鉴定等资料齐全并及时归档，本次得分0.6分；4、项目实施的人员条件、场地设备、信息支撑等落实到位，本次得分0.7分。</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（三）项目产出情况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1、产出数量指标情况分析</w:t>
      </w:r>
    </w:p>
    <w:p>
      <w:pPr>
        <w:pStyle w:val="7"/>
        <w:spacing w:after="0" w:line="600" w:lineRule="exact"/>
        <w:ind w:firstLine="640" w:firstLineChars="200"/>
        <w:rPr>
          <w:rFonts w:ascii="仿宋" w:hAnsi="仿宋" w:eastAsia="仿宋"/>
          <w:sz w:val="32"/>
          <w:szCs w:val="32"/>
        </w:rPr>
      </w:pPr>
      <w:r>
        <w:rPr>
          <w:rFonts w:hint="eastAsia" w:ascii="仿宋" w:hAnsi="仿宋" w:eastAsia="仿宋" w:cs="仿宋_GB2312"/>
          <w:sz w:val="32"/>
          <w:szCs w:val="32"/>
          <w:shd w:val="clear" w:color="auto" w:fill="FFFFFF"/>
        </w:rPr>
        <w:t>涉及土地出让4宗。洪都集团《关于拨付洪都老厂区剩余土地收储及征收款的</w:t>
      </w:r>
      <w:r>
        <w:rPr>
          <w:rFonts w:ascii="仿宋" w:hAnsi="仿宋" w:eastAsia="仿宋" w:cs="仿宋_GB2312"/>
          <w:sz w:val="32"/>
          <w:szCs w:val="32"/>
          <w:shd w:val="clear" w:color="auto" w:fill="FFFFFF"/>
        </w:rPr>
        <w:t>函》（司企函字〔2021〕33号）收悉，经2021年12月3日市政府第31次常务会议研究，鉴于《洪都老厂区剩余土地及地上、地下附着物收储框架协议》内所涉土地今年共有4宗土地出让</w:t>
      </w:r>
      <w:r>
        <w:rPr>
          <w:rFonts w:hint="eastAsia" w:ascii="仿宋" w:hAnsi="仿宋" w:eastAsia="仿宋" w:cs="仿宋_GB2312"/>
          <w:sz w:val="32"/>
          <w:szCs w:val="32"/>
          <w:shd w:val="clear" w:color="auto" w:fill="FFFFFF"/>
        </w:rPr>
        <w:t>，分值10分，得分10分</w:t>
      </w:r>
      <w:r>
        <w:rPr>
          <w:rFonts w:hint="eastAsia" w:ascii="仿宋" w:hAnsi="仿宋" w:eastAsia="仿宋"/>
          <w:sz w:val="32"/>
          <w:szCs w:val="32"/>
        </w:rPr>
        <w:t>。</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2、产出质量指标情况分析</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洪都集团土地交付率100%。南</w:t>
      </w:r>
      <w:r>
        <w:rPr>
          <w:rFonts w:hint="eastAsia" w:ascii="仿宋" w:hAnsi="仿宋" w:eastAsia="仿宋" w:cs="仿宋_GB2312"/>
          <w:sz w:val="32"/>
          <w:szCs w:val="32"/>
          <w:shd w:val="clear" w:color="auto" w:fill="FFFFFF"/>
        </w:rPr>
        <w:t>昌市土地储备中心2021年接收、出让洪都集团土地交付4宗，都已按照政府要求高质量、高规格的完成。</w:t>
      </w:r>
      <w:r>
        <w:rPr>
          <w:rFonts w:hint="eastAsia" w:ascii="仿宋" w:hAnsi="仿宋" w:eastAsia="仿宋" w:cs="仿宋_GB2312"/>
          <w:sz w:val="32"/>
          <w:szCs w:val="32"/>
        </w:rPr>
        <w:t>分值10分，得分10分</w:t>
      </w:r>
      <w:r>
        <w:rPr>
          <w:rFonts w:hint="eastAsia" w:ascii="仿宋" w:hAnsi="仿宋" w:eastAsia="仿宋"/>
          <w:sz w:val="32"/>
          <w:szCs w:val="32"/>
        </w:rPr>
        <w:t>。</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3、产出时效指标情况分析</w:t>
      </w:r>
    </w:p>
    <w:p>
      <w:pPr>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土地交付、土地及地上、地下附着物交接和资金转入洪都集团，都按照工作计划进行，分值5分，得分5分</w:t>
      </w:r>
      <w:r>
        <w:rPr>
          <w:rFonts w:hint="eastAsia" w:ascii="仿宋" w:hAnsi="仿宋" w:eastAsia="仿宋"/>
          <w:sz w:val="32"/>
          <w:szCs w:val="32"/>
        </w:rPr>
        <w:t>。</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4、产出成本指标情况分析</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2021年12月已将所有资金113100万元全部按要求按规定转入洪都集团。分值10分，得分10分。</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（四）项目效益情况</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1、经济效益指标情况分析</w:t>
      </w:r>
    </w:p>
    <w:p>
      <w:pPr>
        <w:spacing w:line="600" w:lineRule="exact"/>
        <w:ind w:firstLine="640" w:firstLineChars="200"/>
        <w:outlineLvl w:val="0"/>
        <w:rPr>
          <w:rFonts w:ascii="仿宋" w:hAnsi="仿宋" w:eastAsia="仿宋"/>
          <w:b/>
          <w:color w:val="000000"/>
          <w:sz w:val="32"/>
          <w:szCs w:val="32"/>
        </w:rPr>
      </w:pPr>
      <w:r>
        <w:rPr>
          <w:rFonts w:hint="eastAsia" w:ascii="仿宋" w:hAnsi="仿宋" w:eastAsia="仿宋" w:cs="仿宋_GB2312"/>
          <w:sz w:val="32"/>
          <w:szCs w:val="32"/>
        </w:rPr>
        <w:t>经</w:t>
      </w:r>
      <w:r>
        <w:rPr>
          <w:rFonts w:ascii="仿宋" w:hAnsi="仿宋" w:eastAsia="仿宋" w:cs="仿宋_GB2312"/>
          <w:sz w:val="32"/>
          <w:szCs w:val="32"/>
        </w:rPr>
        <w:t>2021年12月3日市政府第31次常务会议研究，鉴于《洪都老厂区剩余土地及地上、地下附着物收储框架协议》内所涉土地今年共有4宗土地出让，出让金总额约16.08亿元</w:t>
      </w:r>
      <w:r>
        <w:rPr>
          <w:rFonts w:hint="eastAsia" w:ascii="仿宋" w:hAnsi="仿宋" w:eastAsia="仿宋"/>
          <w:sz w:val="32"/>
          <w:szCs w:val="32"/>
        </w:rPr>
        <w:t>，经考核，本次评分为5分。</w:t>
      </w:r>
    </w:p>
    <w:p>
      <w:pPr>
        <w:spacing w:line="6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2、社会效益指标情况分析</w:t>
      </w:r>
    </w:p>
    <w:p>
      <w:pPr>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资产收储处置工作推进机制已制定完成</w:t>
      </w:r>
      <w:r>
        <w:rPr>
          <w:rFonts w:hint="eastAsia" w:ascii="仿宋" w:hAnsi="仿宋" w:eastAsia="仿宋"/>
          <w:sz w:val="32"/>
          <w:szCs w:val="32"/>
        </w:rPr>
        <w:t>，经考核，本次评分为15分。</w:t>
      </w:r>
    </w:p>
    <w:p>
      <w:pPr>
        <w:spacing w:line="600" w:lineRule="exact"/>
        <w:ind w:firstLine="643" w:firstLineChars="200"/>
        <w:outlineLvl w:val="0"/>
        <w:rPr>
          <w:rFonts w:ascii="仿宋" w:hAnsi="仿宋" w:eastAsia="仿宋"/>
          <w:sz w:val="32"/>
          <w:szCs w:val="32"/>
        </w:rPr>
      </w:pPr>
      <w:r>
        <w:rPr>
          <w:rFonts w:hint="eastAsia" w:ascii="仿宋" w:hAnsi="仿宋" w:eastAsia="仿宋"/>
          <w:b/>
          <w:color w:val="000000"/>
          <w:sz w:val="32"/>
          <w:szCs w:val="32"/>
        </w:rPr>
        <w:t>3、可持续影响指标情况分析</w:t>
      </w:r>
    </w:p>
    <w:p>
      <w:pPr>
        <w:spacing w:line="360" w:lineRule="auto"/>
        <w:ind w:firstLine="640" w:firstLineChars="200"/>
        <w:rPr>
          <w:rFonts w:ascii="仿宋" w:hAnsi="仿宋" w:eastAsia="仿宋"/>
          <w:sz w:val="32"/>
          <w:szCs w:val="32"/>
        </w:rPr>
      </w:pPr>
      <w:r>
        <w:rPr>
          <w:rFonts w:hint="eastAsia" w:ascii="仿宋" w:hAnsi="仿宋" w:eastAsia="仿宋" w:cs="仿宋_GB2312"/>
          <w:sz w:val="32"/>
          <w:szCs w:val="32"/>
        </w:rPr>
        <w:t>持续推进后续工作开展，因为疫情原因，在工作安排上存在一些与计划存在差异的情况。</w:t>
      </w:r>
      <w:r>
        <w:rPr>
          <w:rFonts w:hint="eastAsia" w:ascii="仿宋" w:hAnsi="仿宋" w:eastAsia="仿宋"/>
          <w:sz w:val="32"/>
          <w:szCs w:val="32"/>
        </w:rPr>
        <w:t>经考核，本次评分为8分。</w:t>
      </w:r>
    </w:p>
    <w:p>
      <w:pPr>
        <w:pStyle w:val="7"/>
        <w:spacing w:after="0" w:line="600" w:lineRule="exact"/>
        <w:ind w:firstLine="643" w:firstLineChars="200"/>
        <w:rPr>
          <w:rFonts w:ascii="仿宋" w:hAnsi="仿宋" w:eastAsia="仿宋"/>
          <w:sz w:val="32"/>
          <w:szCs w:val="32"/>
        </w:rPr>
      </w:pPr>
      <w:r>
        <w:rPr>
          <w:rFonts w:hint="eastAsia" w:ascii="仿宋" w:hAnsi="仿宋" w:eastAsia="仿宋"/>
          <w:b/>
          <w:color w:val="000000"/>
          <w:sz w:val="32"/>
          <w:szCs w:val="32"/>
        </w:rPr>
        <w:t>（五）满意度指标情况分析</w:t>
      </w:r>
    </w:p>
    <w:p>
      <w:pPr>
        <w:spacing w:line="600" w:lineRule="exact"/>
        <w:ind w:firstLine="640" w:firstLineChars="200"/>
        <w:outlineLvl w:val="0"/>
        <w:rPr>
          <w:rFonts w:ascii="仿宋" w:hAnsi="仿宋" w:eastAsia="仿宋"/>
          <w:sz w:val="32"/>
          <w:szCs w:val="32"/>
        </w:rPr>
      </w:pPr>
      <w:r>
        <w:rPr>
          <w:rFonts w:hint="eastAsia" w:ascii="仿宋" w:hAnsi="仿宋" w:eastAsia="仿宋" w:cs="仿宋_GB2312"/>
          <w:sz w:val="32"/>
          <w:szCs w:val="32"/>
        </w:rPr>
        <w:t>政府满意度达到100%。达到到目标值。分值10分，得分10分。</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五、主要经验及做法、存在的问题及原因分析</w:t>
      </w:r>
    </w:p>
    <w:p>
      <w:pPr>
        <w:spacing w:line="500" w:lineRule="exact"/>
        <w:ind w:firstLine="643" w:firstLineChars="200"/>
        <w:rPr>
          <w:rFonts w:ascii="仿宋" w:hAnsi="仿宋" w:eastAsia="仿宋"/>
          <w:sz w:val="32"/>
          <w:szCs w:val="32"/>
        </w:rPr>
      </w:pPr>
      <w:r>
        <w:rPr>
          <w:rFonts w:hint="eastAsia" w:ascii="仿宋" w:hAnsi="仿宋" w:eastAsia="仿宋"/>
          <w:b/>
          <w:color w:val="000000"/>
          <w:sz w:val="32"/>
          <w:szCs w:val="32"/>
        </w:rPr>
        <w:t>1、主要经验及做法</w:t>
      </w:r>
    </w:p>
    <w:p>
      <w:pPr>
        <w:spacing w:line="60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2021年南昌市土地储备中心在推进部门预算绩效管理工作上取得了较大成效，主要体现在：</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一是领导重视。市</w:t>
      </w:r>
      <w:r>
        <w:rPr>
          <w:rFonts w:hint="eastAsia" w:ascii="仿宋" w:hAnsi="仿宋" w:eastAsia="仿宋"/>
          <w:sz w:val="32"/>
          <w:szCs w:val="32"/>
          <w:lang w:eastAsia="zh-CN"/>
        </w:rPr>
        <w:t>自然资源和规划局</w:t>
      </w:r>
      <w:r>
        <w:rPr>
          <w:rFonts w:hint="eastAsia" w:ascii="仿宋" w:hAnsi="仿宋" w:eastAsia="仿宋"/>
          <w:sz w:val="32"/>
          <w:szCs w:val="32"/>
        </w:rPr>
        <w:t>领导高度重视项目资金的使用,严格资金的审批,提高资金的使用效益。</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二是管理规范。项目实施科室都能按照项目资金管理办法来严格执行，强化监督检查，有效规范和加强项目资金的管理。</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三是有效提升各部门的绩效意识。全面开展了对财政预算绩效管理的学习活动，利用各媒体形式，宣传预算绩效管理工作，召开专题会议，认真学习领会上级精神，组织各部门培训学习预算绩效管理业务，牢固树立“讲绩效、重绩效、用绩效”的绩效管理理念，进一步增强了各部门的支出责任和效率意识，为绩效管理工作在市土储中心全面有效的开展奠定了较为扎实的基础。</w:t>
      </w:r>
    </w:p>
    <w:p>
      <w:pPr>
        <w:numPr>
          <w:ilvl w:val="0"/>
          <w:numId w:val="3"/>
        </w:numPr>
        <w:spacing w:line="500" w:lineRule="exact"/>
        <w:ind w:firstLine="643" w:firstLineChars="200"/>
        <w:outlineLvl w:val="0"/>
        <w:rPr>
          <w:rFonts w:ascii="仿宋" w:hAnsi="仿宋" w:eastAsia="仿宋"/>
          <w:b/>
          <w:color w:val="000000"/>
          <w:sz w:val="32"/>
          <w:szCs w:val="32"/>
        </w:rPr>
      </w:pPr>
      <w:r>
        <w:rPr>
          <w:rFonts w:hint="eastAsia" w:ascii="仿宋" w:hAnsi="仿宋" w:eastAsia="仿宋"/>
          <w:b/>
          <w:color w:val="000000"/>
          <w:sz w:val="32"/>
          <w:szCs w:val="32"/>
        </w:rPr>
        <w:t>存在的问题及原因分析</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lang w:eastAsia="zh-CN"/>
        </w:rPr>
        <w:t>市土地储备</w:t>
      </w:r>
      <w:r>
        <w:rPr>
          <w:rFonts w:hint="eastAsia" w:ascii="仿宋" w:hAnsi="仿宋" w:eastAsia="仿宋"/>
          <w:sz w:val="32"/>
          <w:szCs w:val="32"/>
        </w:rPr>
        <w:t>中心推进后续工作开展还需要加强，按照《洪都老厂区剩余土地及地上、</w:t>
      </w:r>
      <w:r>
        <w:rPr>
          <w:rFonts w:ascii="仿宋" w:hAnsi="仿宋" w:eastAsia="仿宋"/>
          <w:sz w:val="32"/>
          <w:szCs w:val="32"/>
        </w:rPr>
        <w:t>地下附着物收储框架协议》</w:t>
      </w:r>
      <w:r>
        <w:rPr>
          <w:rFonts w:hint="eastAsia" w:ascii="仿宋" w:hAnsi="仿宋" w:eastAsia="仿宋"/>
          <w:sz w:val="32"/>
          <w:szCs w:val="32"/>
        </w:rPr>
        <w:t>已完成所有工作内容，但因为疫情原因时间节点等计划指标未达到预期值。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六、有关建议</w:t>
      </w:r>
    </w:p>
    <w:p>
      <w:pPr>
        <w:pStyle w:val="7"/>
        <w:spacing w:after="0"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无</w:t>
      </w:r>
    </w:p>
    <w:p>
      <w:pPr>
        <w:pStyle w:val="7"/>
        <w:spacing w:after="0" w:line="500" w:lineRule="exact"/>
        <w:ind w:firstLine="640" w:firstLineChars="200"/>
        <w:rPr>
          <w:rFonts w:ascii="仿宋" w:hAnsi="仿宋" w:eastAsia="仿宋"/>
          <w:sz w:val="32"/>
          <w:szCs w:val="32"/>
        </w:rPr>
      </w:pPr>
      <w:r>
        <w:rPr>
          <w:rFonts w:hint="eastAsia" w:ascii="仿宋" w:hAnsi="仿宋" w:eastAsia="仿宋"/>
          <w:sz w:val="32"/>
          <w:szCs w:val="32"/>
        </w:rPr>
        <w:t>七、其他需要说明的问题</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lang w:eastAsia="zh-CN"/>
        </w:rPr>
        <w:t>无</w:t>
      </w:r>
    </w:p>
    <w:p>
      <w:pPr>
        <w:pStyle w:val="7"/>
        <w:ind w:firstLine="320"/>
        <w:rPr>
          <w:rFonts w:ascii="仿宋" w:hAnsi="仿宋" w:eastAsia="仿宋"/>
          <w:sz w:val="32"/>
          <w:szCs w:val="32"/>
        </w:rPr>
      </w:pPr>
    </w:p>
    <w:p>
      <w:pPr>
        <w:spacing w:line="360" w:lineRule="auto"/>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 xml:space="preserve">  </w:t>
      </w:r>
    </w:p>
    <w:p>
      <w:pPr>
        <w:spacing w:line="360" w:lineRule="auto"/>
        <w:ind w:firstLine="640"/>
        <w:jc w:val="center"/>
        <w:rPr>
          <w:rFonts w:ascii="仿宋" w:hAnsi="仿宋" w:eastAsia="仿宋" w:cs="仿宋_GB2312"/>
          <w:sz w:val="32"/>
          <w:szCs w:val="32"/>
        </w:rPr>
      </w:pPr>
      <w:r>
        <w:rPr>
          <w:rFonts w:hint="eastAsia" w:ascii="仿宋" w:hAnsi="仿宋" w:eastAsia="仿宋" w:cs="仿宋_GB2312"/>
          <w:sz w:val="32"/>
          <w:szCs w:val="32"/>
        </w:rPr>
        <w:t xml:space="preserve">                    </w:t>
      </w:r>
    </w:p>
    <w:p>
      <w:pPr>
        <w:spacing w:line="360" w:lineRule="auto"/>
        <w:ind w:firstLine="640"/>
        <w:jc w:val="center"/>
        <w:rPr>
          <w:rFonts w:ascii="仿宋" w:hAnsi="仿宋" w:eastAsia="仿宋" w:cs="仿宋_GB2312"/>
          <w:sz w:val="32"/>
          <w:szCs w:val="32"/>
        </w:rPr>
      </w:pPr>
      <w:r>
        <w:rPr>
          <w:rFonts w:hint="eastAsia" w:ascii="仿宋" w:hAnsi="仿宋" w:eastAsia="仿宋" w:cs="仿宋_GB2312"/>
          <w:sz w:val="32"/>
          <w:szCs w:val="32"/>
        </w:rPr>
        <w:t xml:space="preserve">                      2022年 5 月25日</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bookmarkStart w:id="0" w:name="_GoBack"/>
      <w:bookmarkEnd w:id="0"/>
    </w:p>
    <w:sectPr>
      <w:headerReference r:id="rId3" w:type="default"/>
      <w:footerReference r:id="rId4" w:type="default"/>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24 -</w:t>
    </w:r>
    <w:r>
      <w:rPr>
        <w:sz w:val="28"/>
        <w:szCs w:val="28"/>
      </w:rPr>
      <w:fldChar w:fldCharType="end"/>
    </w:r>
  </w:p>
  <w:p>
    <w:pPr>
      <w:pStyle w:val="5"/>
      <w:ind w:left="5250"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A1392"/>
    <w:multiLevelType w:val="singleLevel"/>
    <w:tmpl w:val="B02A1392"/>
    <w:lvl w:ilvl="0" w:tentative="0">
      <w:start w:val="2"/>
      <w:numFmt w:val="decimal"/>
      <w:suff w:val="nothing"/>
      <w:lvlText w:val="%1、"/>
      <w:lvlJc w:val="left"/>
    </w:lvl>
  </w:abstractNum>
  <w:abstractNum w:abstractNumId="1">
    <w:nsid w:val="E6E48AB5"/>
    <w:multiLevelType w:val="singleLevel"/>
    <w:tmpl w:val="E6E48AB5"/>
    <w:lvl w:ilvl="0" w:tentative="0">
      <w:start w:val="2"/>
      <w:numFmt w:val="chineseCounting"/>
      <w:suff w:val="nothing"/>
      <w:lvlText w:val="（%1）"/>
      <w:lvlJc w:val="left"/>
      <w:pPr>
        <w:ind w:left="-10"/>
      </w:pPr>
      <w:rPr>
        <w:rFonts w:hint="eastAsia"/>
      </w:rPr>
    </w:lvl>
  </w:abstractNum>
  <w:abstractNum w:abstractNumId="2">
    <w:nsid w:val="0DFF86D9"/>
    <w:multiLevelType w:val="singleLevel"/>
    <w:tmpl w:val="0DFF86D9"/>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c5NDYyNjUyNzZhNDdmZGJmN2RiMDUxMTM4MTQ4MzMifQ=="/>
  </w:docVars>
  <w:rsids>
    <w:rsidRoot w:val="1F686674"/>
    <w:rsid w:val="00756A5E"/>
    <w:rsid w:val="008736EA"/>
    <w:rsid w:val="00A24E94"/>
    <w:rsid w:val="00B82F74"/>
    <w:rsid w:val="0BE2765E"/>
    <w:rsid w:val="1C342C49"/>
    <w:rsid w:val="1F686674"/>
    <w:rsid w:val="2DB97B0F"/>
    <w:rsid w:val="2FD75EFF"/>
    <w:rsid w:val="4EC51446"/>
    <w:rsid w:val="531368BA"/>
    <w:rsid w:val="7E08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Body Text"/>
    <w:basedOn w:val="1"/>
    <w:qFormat/>
    <w:uiPriority w:val="0"/>
    <w:pPr>
      <w:spacing w:after="120"/>
    </w:pPr>
  </w:style>
  <w:style w:type="paragraph" w:styleId="4">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99"/>
    <w:pPr>
      <w:ind w:firstLine="420" w:firstLineChars="100"/>
    </w:p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9799</Words>
  <Characters>10585</Characters>
  <Lines>111</Lines>
  <Paragraphs>31</Paragraphs>
  <TotalTime>2</TotalTime>
  <ScaleCrop>false</ScaleCrop>
  <LinksUpToDate>false</LinksUpToDate>
  <CharactersWithSpaces>10853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2022-05-25T05:37:00Z</dcterms:created>
  <dc:creator>用友刘志超15070895960</dc:creator>
  <cp:lastModifiedBy>Administrator</cp:lastModifiedBy>
  <cp:lastPrinted>2022-05-27T07:40:00Z</cp:lastPrinted>
  <dcterms:modified xsi:type="dcterms:W3CDTF">2022-06-28T07:56:35Z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63AD3552030C48949912FA7B967A7E9E</vt:lpwstr>
  </property>
</Properties>
</file>