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Arial"/>
          <w:bCs/>
          <w:sz w:val="44"/>
          <w:szCs w:val="44"/>
        </w:rPr>
      </w:pPr>
      <w:r>
        <w:rPr>
          <w:rFonts w:hint="eastAsia" w:ascii="方正小标宋简体" w:hAnsi="宋体" w:eastAsia="方正小标宋简体" w:cs="Arial"/>
          <w:bCs/>
          <w:sz w:val="44"/>
          <w:szCs w:val="44"/>
        </w:rPr>
        <w:t>土地供应计划及读地手册编制项目支出绩效评价报告</w:t>
      </w:r>
    </w:p>
    <w:p>
      <w:pPr>
        <w:rPr>
          <w:rFonts w:ascii="黑体" w:hAnsi="宋体" w:eastAsia="黑体" w:cs="Arial"/>
          <w:bCs/>
          <w:sz w:val="32"/>
          <w:szCs w:val="32"/>
        </w:rPr>
      </w:pPr>
    </w:p>
    <w:p>
      <w:pPr>
        <w:spacing w:line="600" w:lineRule="exact"/>
        <w:rPr>
          <w:rFonts w:ascii="黑体" w:hAnsi="黑体" w:eastAsia="黑体" w:cs="黑体"/>
          <w:bCs/>
          <w:sz w:val="32"/>
          <w:szCs w:val="32"/>
          <w:u w:val="single"/>
        </w:rPr>
      </w:pPr>
      <w:r>
        <w:rPr>
          <w:rFonts w:hint="eastAsia" w:ascii="黑体" w:hAnsi="宋体" w:eastAsia="黑体" w:cs="Arial"/>
          <w:bCs/>
          <w:sz w:val="32"/>
          <w:szCs w:val="32"/>
        </w:rPr>
        <w:t>项目名称：</w:t>
      </w:r>
      <w:r>
        <w:rPr>
          <w:rFonts w:hint="eastAsia" w:ascii="黑体" w:hAnsi="黑体" w:eastAsia="黑体" w:cs="黑体"/>
          <w:bCs/>
          <w:sz w:val="32"/>
          <w:szCs w:val="32"/>
          <w:u w:val="single"/>
        </w:rPr>
        <w:t xml:space="preserve">南昌市本级2019年度土地供应计划及读地手册编制 </w:t>
      </w:r>
    </w:p>
    <w:p>
      <w:pPr>
        <w:spacing w:line="600" w:lineRule="exact"/>
        <w:rPr>
          <w:rFonts w:ascii="黑体" w:hAnsi="黑体" w:eastAsia="黑体" w:cs="黑体"/>
          <w:bCs/>
          <w:sz w:val="32"/>
          <w:szCs w:val="32"/>
          <w:u w:val="single"/>
        </w:rPr>
      </w:pPr>
    </w:p>
    <w:p>
      <w:pPr>
        <w:spacing w:line="600" w:lineRule="exact"/>
        <w:rPr>
          <w:rFonts w:ascii="黑体" w:hAnsi="黑体" w:eastAsia="黑体" w:cs="黑体"/>
          <w:bCs/>
          <w:sz w:val="32"/>
          <w:szCs w:val="32"/>
          <w:u w:val="single"/>
        </w:rPr>
      </w:pPr>
      <w:r>
        <w:rPr>
          <w:rFonts w:hint="eastAsia" w:ascii="黑体" w:hAnsi="黑体" w:eastAsia="黑体" w:cs="黑体"/>
          <w:bCs/>
          <w:sz w:val="32"/>
          <w:szCs w:val="32"/>
          <w:u w:val="single"/>
        </w:rPr>
        <w:t xml:space="preserve">项目类别：                 其他类                                   </w:t>
      </w:r>
    </w:p>
    <w:p>
      <w:pPr>
        <w:spacing w:line="600" w:lineRule="exact"/>
        <w:rPr>
          <w:rFonts w:ascii="黑体" w:hAnsi="黑体" w:eastAsia="黑体" w:cs="黑体"/>
          <w:bCs/>
          <w:sz w:val="32"/>
          <w:szCs w:val="32"/>
          <w:u w:val="single"/>
        </w:rPr>
      </w:pPr>
    </w:p>
    <w:p>
      <w:pPr>
        <w:spacing w:line="600" w:lineRule="exact"/>
        <w:rPr>
          <w:rFonts w:ascii="黑体" w:hAnsi="黑体" w:eastAsia="黑体" w:cs="黑体"/>
          <w:bCs/>
          <w:sz w:val="32"/>
          <w:szCs w:val="32"/>
          <w:u w:val="single"/>
        </w:rPr>
      </w:pPr>
      <w:r>
        <w:rPr>
          <w:rFonts w:hint="eastAsia" w:ascii="黑体" w:hAnsi="黑体" w:eastAsia="黑体" w:cs="黑体"/>
          <w:bCs/>
          <w:sz w:val="32"/>
          <w:szCs w:val="32"/>
          <w:u w:val="single"/>
        </w:rPr>
        <w:t xml:space="preserve">实施单位：           南昌市自然资源局权益处         </w:t>
      </w:r>
    </w:p>
    <w:p>
      <w:pPr>
        <w:spacing w:line="600" w:lineRule="exact"/>
        <w:rPr>
          <w:rFonts w:ascii="黑体" w:hAnsi="宋体" w:eastAsia="黑体" w:cs="Arial"/>
          <w:bCs/>
          <w:sz w:val="32"/>
          <w:szCs w:val="32"/>
        </w:rPr>
      </w:pPr>
    </w:p>
    <w:p>
      <w:pPr>
        <w:spacing w:line="600" w:lineRule="exact"/>
        <w:jc w:val="left"/>
        <w:rPr>
          <w:rFonts w:ascii="黑体" w:hAnsi="黑体" w:eastAsia="黑体" w:cs="黑体"/>
          <w:bCs/>
          <w:sz w:val="32"/>
          <w:szCs w:val="32"/>
          <w:u w:val="single"/>
        </w:rPr>
      </w:pPr>
      <w:r>
        <w:rPr>
          <w:rFonts w:hint="eastAsia" w:ascii="黑体" w:hAnsi="宋体" w:eastAsia="黑体" w:cs="Arial"/>
          <w:bCs/>
          <w:sz w:val="32"/>
          <w:szCs w:val="32"/>
          <w:u w:val="single"/>
        </w:rPr>
        <w:t xml:space="preserve">主管部门：            南昌市自然资源局      </w:t>
      </w:r>
      <w:r>
        <w:rPr>
          <w:rFonts w:hint="eastAsia" w:ascii="黑体" w:hAnsi="黑体" w:eastAsia="黑体" w:cs="黑体"/>
          <w:bCs/>
          <w:sz w:val="32"/>
          <w:szCs w:val="32"/>
          <w:u w:val="single"/>
        </w:rPr>
        <w:t>（盖章）</w:t>
      </w:r>
    </w:p>
    <w:p>
      <w:pPr>
        <w:spacing w:line="600" w:lineRule="exact"/>
        <w:rPr>
          <w:rFonts w:ascii="黑体" w:hAnsi="黑体" w:eastAsia="黑体" w:cs="黑体"/>
          <w:bCs/>
          <w:sz w:val="32"/>
          <w:szCs w:val="32"/>
          <w:u w:val="single"/>
        </w:rPr>
      </w:pPr>
    </w:p>
    <w:p>
      <w:pPr>
        <w:spacing w:line="600" w:lineRule="exact"/>
        <w:rPr>
          <w:rFonts w:ascii="黑体" w:hAnsi="黑体" w:eastAsia="黑体" w:cs="黑体"/>
          <w:bCs/>
          <w:sz w:val="32"/>
          <w:szCs w:val="32"/>
          <w:u w:val="single"/>
        </w:rPr>
      </w:pPr>
      <w:r>
        <w:rPr>
          <w:rFonts w:hint="eastAsia" w:ascii="黑体" w:hAnsi="黑体" w:eastAsia="黑体" w:cs="黑体"/>
          <w:bCs/>
          <w:sz w:val="32"/>
          <w:szCs w:val="32"/>
          <w:u w:val="single"/>
        </w:rPr>
        <w:t>评价机构：                                  （盖章）</w:t>
      </w:r>
    </w:p>
    <w:p>
      <w:pPr>
        <w:spacing w:line="600" w:lineRule="exact"/>
        <w:rPr>
          <w:rFonts w:ascii="黑体" w:hAnsi="黑体" w:eastAsia="黑体" w:cs="黑体"/>
          <w:bCs/>
          <w:sz w:val="32"/>
          <w:szCs w:val="32"/>
          <w:u w:val="single"/>
        </w:rPr>
      </w:pPr>
    </w:p>
    <w:p>
      <w:pPr>
        <w:spacing w:line="600" w:lineRule="exact"/>
        <w:rPr>
          <w:rFonts w:ascii="黑体" w:hAnsi="黑体" w:eastAsia="黑体" w:cs="黑体"/>
          <w:bCs/>
          <w:sz w:val="32"/>
          <w:szCs w:val="32"/>
          <w:u w:val="single"/>
        </w:rPr>
      </w:pPr>
      <w:r>
        <w:rPr>
          <w:rFonts w:hint="eastAsia" w:ascii="黑体" w:hAnsi="黑体" w:eastAsia="黑体" w:cs="黑体"/>
          <w:bCs/>
          <w:sz w:val="32"/>
          <w:szCs w:val="32"/>
          <w:u w:val="single"/>
        </w:rPr>
        <w:t xml:space="preserve">评价年度：                2019年度                 </w:t>
      </w:r>
    </w:p>
    <w:p>
      <w:pPr>
        <w:jc w:val="center"/>
        <w:rPr>
          <w:rFonts w:ascii="黑体" w:hAnsi="宋体" w:eastAsia="黑体" w:cs="Arial"/>
          <w:bCs/>
          <w:sz w:val="32"/>
          <w:szCs w:val="32"/>
        </w:rPr>
      </w:pPr>
    </w:p>
    <w:p>
      <w:pPr>
        <w:jc w:val="center"/>
        <w:rPr>
          <w:rFonts w:ascii="黑体" w:hAnsi="宋体" w:eastAsia="黑体" w:cs="Arial"/>
          <w:bCs/>
          <w:sz w:val="32"/>
          <w:szCs w:val="32"/>
        </w:rPr>
      </w:pPr>
    </w:p>
    <w:p>
      <w:pPr>
        <w:jc w:val="center"/>
        <w:rPr>
          <w:rFonts w:ascii="黑体" w:hAnsi="宋体" w:eastAsia="黑体" w:cs="Arial"/>
          <w:bCs/>
          <w:sz w:val="32"/>
          <w:szCs w:val="32"/>
        </w:rPr>
      </w:pPr>
    </w:p>
    <w:p>
      <w:pPr>
        <w:jc w:val="center"/>
        <w:rPr>
          <w:rFonts w:ascii="黑体" w:hAnsi="宋体" w:eastAsia="黑体" w:cs="Arial"/>
          <w:bCs/>
          <w:sz w:val="32"/>
          <w:szCs w:val="32"/>
        </w:rPr>
      </w:pPr>
    </w:p>
    <w:p>
      <w:pPr>
        <w:jc w:val="center"/>
        <w:rPr>
          <w:rFonts w:ascii="黑体" w:hAnsi="宋体" w:eastAsia="黑体" w:cs="Arial"/>
          <w:bCs/>
          <w:sz w:val="32"/>
          <w:szCs w:val="32"/>
        </w:rPr>
      </w:pPr>
    </w:p>
    <w:p>
      <w:pPr>
        <w:spacing w:before="156" w:after="156" w:line="700" w:lineRule="exact"/>
        <w:jc w:val="center"/>
        <w:rPr>
          <w:rFonts w:ascii="方正小标宋简体" w:hAnsi="方正小标宋简体" w:eastAsia="方正小标宋简体" w:cs="方正小标宋简体"/>
          <w:b/>
          <w:sz w:val="44"/>
          <w:szCs w:val="44"/>
        </w:rPr>
      </w:pPr>
    </w:p>
    <w:p>
      <w:pPr>
        <w:spacing w:before="156" w:after="156" w:line="70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南昌市本级2019年土地供应计划及读地手册编制项目绩效评价报告</w:t>
      </w:r>
    </w:p>
    <w:p>
      <w:pPr>
        <w:widowControl/>
        <w:spacing w:line="360" w:lineRule="auto"/>
        <w:rPr>
          <w:rFonts w:ascii="黑体" w:hAnsi="黑体" w:eastAsia="黑体" w:cs="黑体"/>
          <w:b/>
          <w:sz w:val="48"/>
          <w:szCs w:val="48"/>
        </w:rPr>
      </w:pP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根据市财政局《南昌市财政局关于开展2019年度市级部门财政项目支出绩效评价工作的通知》(洪财办〔2020〕10号）文件精神，我处及时对南昌市本级2019年度土地供应计划编制专项资金进行绩效评价。</w:t>
      </w:r>
    </w:p>
    <w:p>
      <w:pPr>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一、项目基本情况</w:t>
      </w:r>
    </w:p>
    <w:p>
      <w:pPr>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(一)项目概况</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1、立项背景</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土地供应计划是国家实施宏观调控的具体举措，有着十分重要的现实意义。从《城市房地产管理法》以及国务院发布的关于稳定房价的有关文件，到原国土资源部发布的一系列规范、制度和政策中，对有计划供地已有明确要求。2009年以来，自然资源管理部门多次强调土地供应计划管理在宏观调控中的重要性，指出土地供应计划的职能已从单一服务于土地资源管理，逐步转向管理与宏观调控并重。供应计划是在充分研究土地市场规律、把握土地市场发展趋势的基础上，依据有关法律法规和土地现实供需要求编制的，体现了对未来国有建设用地供应规模、时序、结构等方面的设计和谋划。有了这个计划，才能对供多少地，何时供，以什么方式供，供应结构、方向如何等做到心中有数，才能进一步提高城市政府供地的、前瞻性、科学性、针对性和合理性。其次，编制土地供应计划有利于更好地发挥土地的调控作用</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有建设用地供应计划编制规范》（试行）（国土资发〔2010〕117号）以及南昌市国土资源局《关于编制2019年度国有建设用地供应计划的通知》（洪国土资办字〔2019〕3号），结合《南昌市土地利用总体规划（2006-2020年）调整完善方案》、土地利用年度计划、城市总体规划和南昌大都市区规划及近年土地市场供需情况，设立了本项目。</w:t>
      </w:r>
    </w:p>
    <w:p>
      <w:pPr>
        <w:spacing w:line="600" w:lineRule="exact"/>
        <w:ind w:firstLine="643" w:firstLineChars="200"/>
        <w:rPr>
          <w:rFonts w:ascii="楷体" w:hAnsi="楷体" w:eastAsia="楷体" w:cs="楷体"/>
          <w:b/>
          <w:bCs/>
          <w:sz w:val="32"/>
          <w:szCs w:val="32"/>
        </w:rPr>
      </w:pPr>
      <w:bookmarkStart w:id="0" w:name="_Toc480533242"/>
      <w:bookmarkStart w:id="1" w:name="_Toc480533779"/>
      <w:bookmarkStart w:id="2" w:name="_Toc480534738"/>
      <w:bookmarkStart w:id="3" w:name="_Toc480536979"/>
      <w:bookmarkStart w:id="4" w:name="_Toc480537463"/>
      <w:bookmarkStart w:id="5" w:name="_Toc480537529"/>
      <w:r>
        <w:rPr>
          <w:rFonts w:hint="eastAsia" w:ascii="楷体" w:hAnsi="楷体" w:eastAsia="楷体" w:cs="楷体"/>
          <w:b/>
          <w:bCs/>
          <w:sz w:val="32"/>
          <w:szCs w:val="32"/>
        </w:rPr>
        <w:t>2、立项目的</w:t>
      </w:r>
      <w:bookmarkEnd w:id="0"/>
      <w:bookmarkEnd w:id="1"/>
      <w:bookmarkEnd w:id="2"/>
      <w:bookmarkEnd w:id="3"/>
      <w:bookmarkEnd w:id="4"/>
      <w:bookmarkEnd w:id="5"/>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认真落实节约集约用地和国家，房地产市场宏观调控政策，根据当地经济发展的实际，科学确定土地供应总量，优先保障各类住房用地、重点项目和城乡基础设施、民生工程等用地。以土地利用方式转变来服务扩大有效投资，促进我市经济发展提质增效。</w:t>
      </w:r>
    </w:p>
    <w:p>
      <w:pPr>
        <w:pStyle w:val="8"/>
        <w:widowControl w:val="0"/>
        <w:spacing w:before="156" w:after="156" w:line="560" w:lineRule="exact"/>
        <w:ind w:firstLine="643" w:firstLineChars="200"/>
        <w:jc w:val="left"/>
        <w:outlineLvl w:val="2"/>
        <w:rPr>
          <w:rFonts w:ascii="仿宋" w:hAnsi="仿宋" w:eastAsia="仿宋" w:cs="仿宋"/>
          <w:sz w:val="32"/>
          <w:szCs w:val="32"/>
        </w:rPr>
      </w:pPr>
      <w:bookmarkStart w:id="6" w:name="_Toc480533243"/>
      <w:bookmarkStart w:id="7" w:name="_Toc480533780"/>
      <w:bookmarkStart w:id="8" w:name="_Toc480534739"/>
      <w:bookmarkStart w:id="9" w:name="_Toc480536980"/>
      <w:bookmarkStart w:id="10" w:name="_Toc480537464"/>
      <w:bookmarkStart w:id="11" w:name="_Toc480537530"/>
      <w:r>
        <w:rPr>
          <w:rFonts w:hint="eastAsia" w:ascii="仿宋" w:hAnsi="仿宋" w:eastAsia="仿宋" w:cs="仿宋"/>
          <w:sz w:val="32"/>
          <w:szCs w:val="32"/>
        </w:rPr>
        <w:t>3、项目内容、执行标准和实施期限</w:t>
      </w:r>
      <w:bookmarkEnd w:id="6"/>
      <w:bookmarkEnd w:id="7"/>
      <w:bookmarkEnd w:id="8"/>
      <w:bookmarkEnd w:id="9"/>
      <w:bookmarkEnd w:id="10"/>
      <w:bookmarkEnd w:id="11"/>
    </w:p>
    <w:p>
      <w:pPr>
        <w:spacing w:before="156" w:beforeLines="50" w:after="156" w:afterLines="50" w:line="56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A、项目主要内容</w:t>
      </w:r>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（1）完成南昌市本级2019年度土地供应计划文本及说明编制；</w:t>
      </w:r>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（2）完成南昌市本级2019年度读地手册编制。</w:t>
      </w:r>
    </w:p>
    <w:p>
      <w:pPr>
        <w:spacing w:before="156" w:beforeLines="50" w:after="156" w:afterLines="50" w:line="56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B、项目执行标准</w:t>
      </w:r>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（1）《国有建设用地供应计划编制规范》（试行）（国土资发〔2010〕117号）；</w:t>
      </w:r>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（2）南昌市国土资源局《关于编制2019年度国有建设用地供应计划的通知》（洪国土资办字〔2019〕3号）。</w:t>
      </w:r>
    </w:p>
    <w:p>
      <w:pPr>
        <w:spacing w:before="156" w:beforeLines="50" w:after="156" w:afterLines="50" w:line="56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C、项目实施期限</w:t>
      </w:r>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计划实施期限2019.2——2019.3</w:t>
      </w:r>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实际完成期限2019.2——2019.3</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4、资金使用情况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项目资金来源为财政拨款，全程严格按照政府采购法进行操作，通过政府采购招标项目成交金额为34.2万元，中标单位为南昌市国土资源勘测规划院有限公司。项目资金实行专款专用，项目按合同约定完成后一次性付清，使用规范并达到了预期目的。</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5、项目组织管理情况</w:t>
      </w:r>
    </w:p>
    <w:p>
      <w:pPr>
        <w:spacing w:line="600" w:lineRule="exact"/>
        <w:ind w:firstLine="640" w:firstLineChars="200"/>
        <w:rPr>
          <w:rFonts w:ascii="仿宋_GB2312" w:eastAsia="仿宋_GB2312"/>
          <w:sz w:val="32"/>
          <w:szCs w:val="32"/>
        </w:rPr>
      </w:pPr>
      <w:r>
        <w:rPr>
          <w:rFonts w:ascii="仿宋_GB2312" w:eastAsia="仿宋_GB2312"/>
          <w:sz w:val="32"/>
          <w:szCs w:val="32"/>
        </w:rPr>
        <w:t>本项目经政府采购招标成交金额为</w:t>
      </w:r>
      <w:r>
        <w:rPr>
          <w:rFonts w:hint="eastAsia" w:ascii="仿宋_GB2312" w:eastAsia="仿宋_GB2312"/>
          <w:sz w:val="32"/>
          <w:szCs w:val="32"/>
        </w:rPr>
        <w:t>34.2</w:t>
      </w:r>
      <w:r>
        <w:rPr>
          <w:rFonts w:ascii="仿宋_GB2312" w:eastAsia="仿宋_GB2312"/>
          <w:sz w:val="32"/>
          <w:szCs w:val="32"/>
        </w:rPr>
        <w:t>万元。</w:t>
      </w:r>
      <w:r>
        <w:rPr>
          <w:rFonts w:hint="eastAsia" w:ascii="仿宋_GB2312" w:eastAsia="仿宋_GB2312"/>
          <w:sz w:val="32"/>
          <w:szCs w:val="32"/>
        </w:rPr>
        <w:t>南昌市自然</w:t>
      </w:r>
      <w:r>
        <w:rPr>
          <w:rFonts w:ascii="仿宋_GB2312" w:eastAsia="仿宋_GB2312"/>
          <w:sz w:val="32"/>
          <w:szCs w:val="32"/>
        </w:rPr>
        <w:t>资源局与</w:t>
      </w:r>
      <w:r>
        <w:rPr>
          <w:rFonts w:hint="eastAsia" w:ascii="仿宋_GB2312" w:eastAsia="仿宋_GB2312"/>
          <w:sz w:val="32"/>
          <w:szCs w:val="32"/>
        </w:rPr>
        <w:t>南昌市国土资源勘测规划院有限公司</w:t>
      </w:r>
      <w:r>
        <w:rPr>
          <w:rFonts w:ascii="仿宋_GB2312" w:eastAsia="仿宋_GB2312"/>
          <w:sz w:val="32"/>
          <w:szCs w:val="32"/>
        </w:rPr>
        <w:t>签</w:t>
      </w:r>
      <w:r>
        <w:rPr>
          <w:rFonts w:hint="eastAsia" w:ascii="仿宋_GB2312" w:eastAsia="仿宋_GB2312"/>
          <w:sz w:val="32"/>
          <w:szCs w:val="32"/>
        </w:rPr>
        <w:t>订</w:t>
      </w:r>
      <w:r>
        <w:rPr>
          <w:rFonts w:ascii="仿宋_GB2312" w:eastAsia="仿宋_GB2312"/>
          <w:sz w:val="32"/>
          <w:szCs w:val="32"/>
        </w:rPr>
        <w:t>了《</w:t>
      </w:r>
      <w:r>
        <w:rPr>
          <w:rFonts w:hint="eastAsia" w:ascii="仿宋_GB2312" w:eastAsia="仿宋_GB2312"/>
          <w:sz w:val="32"/>
          <w:szCs w:val="32"/>
        </w:rPr>
        <w:t>南昌市本级2019年土地供应计划编制</w:t>
      </w:r>
      <w:r>
        <w:rPr>
          <w:rFonts w:ascii="仿宋_GB2312" w:eastAsia="仿宋_GB2312"/>
          <w:sz w:val="32"/>
          <w:szCs w:val="32"/>
        </w:rPr>
        <w:t>项目</w:t>
      </w:r>
      <w:r>
        <w:rPr>
          <w:rFonts w:hint="eastAsia" w:ascii="仿宋_GB2312" w:eastAsia="仿宋_GB2312"/>
          <w:sz w:val="32"/>
          <w:szCs w:val="32"/>
        </w:rPr>
        <w:t>技术委托合同</w:t>
      </w:r>
      <w:r>
        <w:rPr>
          <w:rFonts w:ascii="仿宋_GB2312" w:eastAsia="仿宋_GB2312"/>
          <w:sz w:val="32"/>
          <w:szCs w:val="32"/>
        </w:rPr>
        <w:t>》，双方约定在供地计划</w:t>
      </w:r>
      <w:r>
        <w:rPr>
          <w:rFonts w:hint="eastAsia" w:ascii="仿宋_GB2312" w:eastAsia="仿宋_GB2312"/>
          <w:sz w:val="32"/>
          <w:szCs w:val="32"/>
        </w:rPr>
        <w:t>和读地手册</w:t>
      </w:r>
      <w:r>
        <w:rPr>
          <w:rFonts w:ascii="仿宋_GB2312" w:eastAsia="仿宋_GB2312"/>
          <w:sz w:val="32"/>
          <w:szCs w:val="32"/>
        </w:rPr>
        <w:t>编制完成并备案合格后一次性支付</w:t>
      </w:r>
      <w:r>
        <w:rPr>
          <w:rFonts w:hint="eastAsia" w:ascii="仿宋_GB2312" w:eastAsia="仿宋_GB2312"/>
          <w:sz w:val="32"/>
          <w:szCs w:val="32"/>
        </w:rPr>
        <w:t>34.2</w:t>
      </w:r>
      <w:r>
        <w:rPr>
          <w:rFonts w:ascii="仿宋_GB2312" w:eastAsia="仿宋_GB2312"/>
          <w:sz w:val="32"/>
          <w:szCs w:val="32"/>
        </w:rPr>
        <w:t>万元，项目资金全部用于</w:t>
      </w:r>
      <w:r>
        <w:rPr>
          <w:rFonts w:hint="eastAsia" w:ascii="仿宋_GB2312" w:eastAsia="仿宋_GB2312"/>
          <w:sz w:val="32"/>
          <w:szCs w:val="32"/>
        </w:rPr>
        <w:t>南昌市本级2019年土地供应计划</w:t>
      </w:r>
      <w:r>
        <w:rPr>
          <w:rFonts w:ascii="仿宋_GB2312" w:eastAsia="仿宋_GB2312"/>
          <w:sz w:val="32"/>
          <w:szCs w:val="32"/>
        </w:rPr>
        <w:t>编制工作。该项目到201</w:t>
      </w:r>
      <w:r>
        <w:rPr>
          <w:rFonts w:hint="eastAsia" w:ascii="仿宋_GB2312" w:eastAsia="仿宋_GB2312"/>
          <w:sz w:val="32"/>
          <w:szCs w:val="32"/>
        </w:rPr>
        <w:t>9</w:t>
      </w:r>
      <w:r>
        <w:rPr>
          <w:rFonts w:ascii="仿宋_GB2312" w:eastAsia="仿宋_GB2312"/>
          <w:sz w:val="32"/>
          <w:szCs w:val="32"/>
        </w:rPr>
        <w:t>年3月底已完成了预期工作目标。</w:t>
      </w:r>
    </w:p>
    <w:p>
      <w:pPr>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二、绩效评价工作情况</w:t>
      </w:r>
    </w:p>
    <w:p>
      <w:pPr>
        <w:pStyle w:val="8"/>
        <w:widowControl w:val="0"/>
        <w:spacing w:before="156" w:after="156" w:line="560" w:lineRule="exact"/>
        <w:ind w:firstLine="643" w:firstLineChars="200"/>
        <w:jc w:val="left"/>
        <w:outlineLvl w:val="1"/>
        <w:rPr>
          <w:rFonts w:ascii="仿宋" w:hAnsi="仿宋" w:eastAsia="仿宋" w:cs="仿宋"/>
          <w:sz w:val="32"/>
          <w:szCs w:val="32"/>
        </w:rPr>
      </w:pPr>
      <w:bookmarkStart w:id="12" w:name="_Toc480536985"/>
      <w:bookmarkStart w:id="13" w:name="_Toc480534744"/>
      <w:bookmarkStart w:id="14" w:name="_Toc480533785"/>
      <w:bookmarkStart w:id="15" w:name="_Toc480533248"/>
      <w:bookmarkStart w:id="16" w:name="_Toc480537469"/>
      <w:bookmarkStart w:id="17" w:name="_Toc480537535"/>
      <w:r>
        <w:rPr>
          <w:rFonts w:hint="eastAsia" w:ascii="仿宋" w:hAnsi="仿宋" w:eastAsia="仿宋" w:cs="仿宋"/>
          <w:sz w:val="32"/>
          <w:szCs w:val="32"/>
        </w:rPr>
        <w:t>（一）绩效评价目的</w:t>
      </w:r>
      <w:bookmarkEnd w:id="12"/>
      <w:bookmarkEnd w:id="13"/>
      <w:bookmarkEnd w:id="14"/>
      <w:bookmarkEnd w:id="15"/>
      <w:bookmarkEnd w:id="16"/>
      <w:bookmarkEnd w:id="17"/>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财政支出绩效评价是财政管理体制改革的主要课题，也是建设高效廉洁政府的关键措施。通过评价，强化支出责任，优化资源配置效率，提高财政资金使用效益。</w:t>
      </w:r>
    </w:p>
    <w:p>
      <w:pPr>
        <w:pStyle w:val="8"/>
        <w:widowControl w:val="0"/>
        <w:spacing w:before="156" w:after="156" w:line="560" w:lineRule="exact"/>
        <w:ind w:firstLine="643" w:firstLineChars="200"/>
        <w:jc w:val="left"/>
        <w:outlineLvl w:val="1"/>
        <w:rPr>
          <w:rFonts w:ascii="仿宋" w:hAnsi="仿宋" w:eastAsia="仿宋" w:cs="仿宋"/>
          <w:sz w:val="32"/>
          <w:szCs w:val="32"/>
        </w:rPr>
      </w:pPr>
      <w:bookmarkStart w:id="18" w:name="_Toc480533249"/>
      <w:bookmarkStart w:id="19" w:name="_Toc480533786"/>
      <w:bookmarkStart w:id="20" w:name="_Toc480534745"/>
      <w:bookmarkStart w:id="21" w:name="_Toc480536986"/>
      <w:bookmarkStart w:id="22" w:name="_Toc480537470"/>
      <w:bookmarkStart w:id="23" w:name="_Toc480537536"/>
      <w:r>
        <w:rPr>
          <w:rFonts w:hint="eastAsia" w:ascii="仿宋" w:hAnsi="仿宋" w:eastAsia="仿宋" w:cs="仿宋"/>
          <w:sz w:val="32"/>
          <w:szCs w:val="32"/>
        </w:rPr>
        <w:t>（二）绩效评价设计过程</w:t>
      </w:r>
      <w:bookmarkEnd w:id="18"/>
      <w:bookmarkEnd w:id="19"/>
      <w:bookmarkEnd w:id="20"/>
      <w:bookmarkEnd w:id="21"/>
      <w:bookmarkEnd w:id="22"/>
      <w:bookmarkEnd w:id="23"/>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财政预算项目绩效评价是政府加强绩效管理，提高专项资金管理水平和使用效益的重要举措。</w:t>
      </w:r>
    </w:p>
    <w:p>
      <w:pPr>
        <w:spacing w:before="156" w:beforeLines="50" w:after="156" w:afterLines="50" w:line="56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1、成立专门工作小组</w:t>
      </w:r>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为了做好本次绩效评价工作，市国土局成立了南昌市本级2019年度土地供应计划及读地手册编制项目绩效评价工作小组，负责统一布置、指导、协调和落实此次绩效评价工作的开展。</w:t>
      </w:r>
    </w:p>
    <w:p>
      <w:pPr>
        <w:spacing w:before="156" w:beforeLines="50" w:after="156" w:afterLines="50" w:line="56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2、选取设立评价指标</w:t>
      </w:r>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针对项目在投入、过程、产出和效果等方面的实际情况，设立了各项评价指标。</w:t>
      </w:r>
    </w:p>
    <w:p>
      <w:pPr>
        <w:pStyle w:val="8"/>
        <w:widowControl w:val="0"/>
        <w:spacing w:before="156" w:after="156" w:line="560" w:lineRule="exact"/>
        <w:ind w:firstLine="643" w:firstLineChars="200"/>
        <w:jc w:val="left"/>
        <w:outlineLvl w:val="1"/>
        <w:rPr>
          <w:rFonts w:ascii="仿宋" w:hAnsi="仿宋" w:eastAsia="仿宋" w:cs="仿宋"/>
          <w:sz w:val="32"/>
          <w:szCs w:val="32"/>
        </w:rPr>
      </w:pPr>
      <w:bookmarkStart w:id="24" w:name="_Toc480533250"/>
      <w:bookmarkStart w:id="25" w:name="_Toc480533787"/>
      <w:bookmarkStart w:id="26" w:name="_Toc480534746"/>
      <w:bookmarkStart w:id="27" w:name="_Toc480536987"/>
      <w:bookmarkStart w:id="28" w:name="_Toc480537471"/>
      <w:bookmarkStart w:id="29" w:name="_Toc480537537"/>
      <w:r>
        <w:rPr>
          <w:rFonts w:hint="eastAsia" w:ascii="仿宋" w:hAnsi="仿宋" w:eastAsia="仿宋" w:cs="仿宋"/>
          <w:sz w:val="32"/>
          <w:szCs w:val="32"/>
        </w:rPr>
        <w:t>（三）绩效评价框架</w:t>
      </w:r>
      <w:bookmarkEnd w:id="24"/>
      <w:bookmarkEnd w:id="25"/>
      <w:bookmarkEnd w:id="26"/>
      <w:bookmarkEnd w:id="27"/>
      <w:bookmarkEnd w:id="28"/>
      <w:bookmarkEnd w:id="29"/>
    </w:p>
    <w:p>
      <w:pPr>
        <w:pStyle w:val="8"/>
        <w:widowControl w:val="0"/>
        <w:spacing w:before="156" w:after="156" w:line="560" w:lineRule="exact"/>
        <w:ind w:firstLine="643" w:firstLineChars="200"/>
        <w:jc w:val="left"/>
        <w:outlineLvl w:val="9"/>
        <w:rPr>
          <w:rFonts w:ascii="仿宋" w:hAnsi="仿宋" w:eastAsia="仿宋" w:cs="仿宋"/>
          <w:sz w:val="32"/>
          <w:szCs w:val="32"/>
        </w:rPr>
      </w:pPr>
      <w:bookmarkStart w:id="30" w:name="_Toc480533251"/>
      <w:bookmarkStart w:id="31" w:name="_Toc480533788"/>
      <w:bookmarkStart w:id="32" w:name="_Toc480534747"/>
      <w:bookmarkStart w:id="33" w:name="_Toc480536988"/>
      <w:bookmarkStart w:id="34" w:name="_Toc480537472"/>
      <w:bookmarkStart w:id="35" w:name="_Toc480537538"/>
      <w:r>
        <w:rPr>
          <w:rFonts w:hint="eastAsia" w:ascii="仿宋" w:hAnsi="仿宋" w:eastAsia="仿宋" w:cs="仿宋"/>
          <w:sz w:val="32"/>
          <w:szCs w:val="32"/>
        </w:rPr>
        <w:t>1、绩效评价原则</w:t>
      </w:r>
      <w:bookmarkEnd w:id="30"/>
      <w:bookmarkEnd w:id="31"/>
      <w:bookmarkEnd w:id="32"/>
      <w:bookmarkEnd w:id="33"/>
      <w:bookmarkEnd w:id="34"/>
      <w:bookmarkEnd w:id="35"/>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本项目绩效评价遵循以下原则：</w:t>
      </w:r>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（1）科学规范原则；</w:t>
      </w:r>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（2）公正公开原则；</w:t>
      </w:r>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（3）分级分类原则；</w:t>
      </w:r>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（4）绩效相关原则。</w:t>
      </w:r>
    </w:p>
    <w:p>
      <w:pPr>
        <w:pStyle w:val="8"/>
        <w:widowControl w:val="0"/>
        <w:spacing w:before="156" w:after="156" w:line="560" w:lineRule="exact"/>
        <w:ind w:firstLine="643" w:firstLineChars="200"/>
        <w:jc w:val="left"/>
        <w:outlineLvl w:val="9"/>
        <w:rPr>
          <w:rFonts w:ascii="仿宋" w:hAnsi="仿宋" w:eastAsia="仿宋" w:cs="仿宋"/>
          <w:sz w:val="32"/>
          <w:szCs w:val="32"/>
        </w:rPr>
      </w:pPr>
      <w:bookmarkStart w:id="36" w:name="_Toc480537539"/>
      <w:bookmarkStart w:id="37" w:name="_Toc480537473"/>
      <w:bookmarkStart w:id="38" w:name="_Toc480536989"/>
      <w:bookmarkStart w:id="39" w:name="_Toc480534748"/>
      <w:bookmarkStart w:id="40" w:name="_Toc480533789"/>
      <w:bookmarkStart w:id="41" w:name="_Toc480533252"/>
      <w:r>
        <w:rPr>
          <w:rFonts w:hint="eastAsia" w:ascii="仿宋" w:hAnsi="仿宋" w:eastAsia="仿宋" w:cs="仿宋"/>
          <w:sz w:val="32"/>
          <w:szCs w:val="32"/>
        </w:rPr>
        <w:t>2、评价指标体系</w:t>
      </w:r>
      <w:bookmarkEnd w:id="36"/>
      <w:bookmarkEnd w:id="37"/>
      <w:bookmarkEnd w:id="38"/>
      <w:bookmarkEnd w:id="39"/>
      <w:bookmarkEnd w:id="40"/>
      <w:bookmarkEnd w:id="41"/>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根据财政部《预算绩效评价共性指标体系框架》等文件精神及本项目的具体特点，设置了合理可行的评价体系，包括投入指标（项目立项、资金落实）、过程指标（业务管理、财务管理）、产出数量与质量指标、社会效益与可持续影响指标等。</w:t>
      </w:r>
    </w:p>
    <w:p>
      <w:pPr>
        <w:pStyle w:val="8"/>
        <w:widowControl w:val="0"/>
        <w:spacing w:before="156" w:after="156" w:line="560" w:lineRule="exact"/>
        <w:ind w:firstLine="643" w:firstLineChars="200"/>
        <w:jc w:val="left"/>
        <w:outlineLvl w:val="9"/>
        <w:rPr>
          <w:rFonts w:ascii="仿宋" w:hAnsi="仿宋" w:eastAsia="仿宋" w:cs="仿宋"/>
          <w:sz w:val="32"/>
          <w:szCs w:val="32"/>
        </w:rPr>
      </w:pPr>
      <w:bookmarkStart w:id="42" w:name="_Toc480537474"/>
      <w:bookmarkStart w:id="43" w:name="_Toc480533253"/>
      <w:bookmarkStart w:id="44" w:name="_Toc480533790"/>
      <w:bookmarkStart w:id="45" w:name="_Toc480534749"/>
      <w:bookmarkStart w:id="46" w:name="_Toc480536990"/>
      <w:bookmarkStart w:id="47" w:name="_Toc480537540"/>
      <w:r>
        <w:rPr>
          <w:rFonts w:hint="eastAsia" w:ascii="仿宋" w:hAnsi="仿宋" w:eastAsia="仿宋" w:cs="仿宋"/>
          <w:sz w:val="32"/>
          <w:szCs w:val="32"/>
        </w:rPr>
        <w:t>3、评价方法</w:t>
      </w:r>
      <w:bookmarkEnd w:id="42"/>
      <w:bookmarkEnd w:id="43"/>
      <w:bookmarkEnd w:id="44"/>
      <w:bookmarkEnd w:id="45"/>
      <w:bookmarkEnd w:id="46"/>
      <w:bookmarkEnd w:id="47"/>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本项目绩效评价主要采用数据对比，标准和产品对照，同时辅以访谈、研讨、审计等方法。</w:t>
      </w:r>
    </w:p>
    <w:p>
      <w:pPr>
        <w:pStyle w:val="8"/>
        <w:widowControl w:val="0"/>
        <w:spacing w:before="156" w:after="156" w:line="560" w:lineRule="exact"/>
        <w:ind w:firstLine="643" w:firstLineChars="200"/>
        <w:jc w:val="left"/>
        <w:outlineLvl w:val="1"/>
        <w:rPr>
          <w:rFonts w:ascii="仿宋" w:hAnsi="仿宋" w:eastAsia="仿宋" w:cs="仿宋"/>
          <w:sz w:val="32"/>
          <w:szCs w:val="32"/>
        </w:rPr>
      </w:pPr>
      <w:bookmarkStart w:id="48" w:name="_Toc480536991"/>
      <w:bookmarkStart w:id="49" w:name="_Toc480534750"/>
      <w:bookmarkStart w:id="50" w:name="_Toc480533791"/>
      <w:bookmarkStart w:id="51" w:name="_Toc480533254"/>
      <w:bookmarkStart w:id="52" w:name="_Toc480537475"/>
      <w:bookmarkStart w:id="53" w:name="_Toc480537541"/>
      <w:r>
        <w:rPr>
          <w:rFonts w:hint="eastAsia" w:ascii="仿宋" w:hAnsi="仿宋" w:eastAsia="仿宋" w:cs="仿宋"/>
          <w:sz w:val="32"/>
          <w:szCs w:val="32"/>
        </w:rPr>
        <w:t>（四）证据收集方法</w:t>
      </w:r>
      <w:bookmarkEnd w:id="48"/>
      <w:bookmarkEnd w:id="49"/>
      <w:bookmarkEnd w:id="50"/>
      <w:bookmarkEnd w:id="51"/>
      <w:bookmarkEnd w:id="52"/>
      <w:bookmarkEnd w:id="53"/>
    </w:p>
    <w:p>
      <w:pPr>
        <w:spacing w:before="156" w:beforeLines="50"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本项目主要采用查阅相关文件、合同、核查项目成果文件图表、抽查会计凭证帐表等资料，并通过访谈、电话回访、社会调查等掌握具体情况，对采集的数据和资料进行详细的分析和统计。</w:t>
      </w:r>
    </w:p>
    <w:p>
      <w:pPr>
        <w:pStyle w:val="8"/>
        <w:widowControl w:val="0"/>
        <w:numPr>
          <w:ilvl w:val="0"/>
          <w:numId w:val="1"/>
        </w:numPr>
        <w:spacing w:before="156" w:after="156" w:line="560" w:lineRule="exact"/>
        <w:ind w:firstLine="643" w:firstLineChars="200"/>
        <w:jc w:val="left"/>
        <w:outlineLvl w:val="1"/>
        <w:rPr>
          <w:rFonts w:hint="eastAsia" w:ascii="仿宋" w:hAnsi="仿宋" w:eastAsia="仿宋" w:cs="仿宋"/>
          <w:sz w:val="32"/>
          <w:szCs w:val="32"/>
        </w:rPr>
      </w:pPr>
      <w:bookmarkStart w:id="54" w:name="_Toc480534751"/>
      <w:bookmarkStart w:id="55" w:name="_Toc480533255"/>
      <w:bookmarkStart w:id="56" w:name="_Toc480537542"/>
      <w:bookmarkStart w:id="57" w:name="_Toc480533792"/>
      <w:bookmarkStart w:id="58" w:name="_Toc480536992"/>
      <w:bookmarkStart w:id="59" w:name="_Toc480537476"/>
      <w:r>
        <w:rPr>
          <w:rFonts w:hint="eastAsia" w:ascii="仿宋" w:hAnsi="仿宋" w:eastAsia="仿宋" w:cs="仿宋"/>
          <w:sz w:val="32"/>
          <w:szCs w:val="32"/>
        </w:rPr>
        <w:t>绩效评价的实施过程</w:t>
      </w:r>
      <w:bookmarkEnd w:id="54"/>
      <w:bookmarkEnd w:id="55"/>
      <w:bookmarkEnd w:id="56"/>
      <w:bookmarkEnd w:id="57"/>
      <w:bookmarkEnd w:id="58"/>
      <w:bookmarkEnd w:id="59"/>
    </w:p>
    <w:p>
      <w:pPr>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kern w:val="0"/>
          <w:sz w:val="32"/>
          <w:szCs w:val="32"/>
        </w:rPr>
        <w:t>根据《南昌市财政局关于开展2019年度市级部门财政项目支出绩效评价工作的通知》的要求，</w:t>
      </w:r>
      <w:r>
        <w:rPr>
          <w:rFonts w:hint="eastAsia" w:ascii="仿宋" w:hAnsi="仿宋" w:eastAsia="仿宋" w:cs="仿宋"/>
          <w:kern w:val="0"/>
          <w:sz w:val="32"/>
          <w:szCs w:val="32"/>
          <w:lang w:eastAsia="zh-CN"/>
        </w:rPr>
        <w:t>局机关召集各相关项目负责人于</w:t>
      </w:r>
      <w:r>
        <w:rPr>
          <w:rFonts w:hint="eastAsia" w:ascii="仿宋" w:hAnsi="仿宋" w:eastAsia="仿宋" w:cs="仿宋"/>
          <w:kern w:val="0"/>
          <w:sz w:val="32"/>
          <w:szCs w:val="32"/>
          <w:lang w:val="en-US" w:eastAsia="zh-CN"/>
        </w:rPr>
        <w:t>2020年3月23日开展2019年项目支出绩效评价工作会议，会议中详细探讨该项工作的开展情况，并对金额较大的项目重点分析，要求各项目负责人</w:t>
      </w:r>
      <w:r>
        <w:rPr>
          <w:rFonts w:hint="eastAsia" w:ascii="仿宋" w:hAnsi="仿宋" w:eastAsia="仿宋" w:cs="仿宋"/>
          <w:kern w:val="0"/>
          <w:sz w:val="32"/>
          <w:szCs w:val="32"/>
        </w:rPr>
        <w:t>积极开展项目绩效</w:t>
      </w:r>
      <w:r>
        <w:rPr>
          <w:rFonts w:hint="eastAsia" w:ascii="仿宋" w:hAnsi="仿宋" w:eastAsia="仿宋" w:cs="仿宋"/>
          <w:kern w:val="0"/>
          <w:sz w:val="32"/>
          <w:szCs w:val="32"/>
          <w:lang w:eastAsia="zh-CN"/>
        </w:rPr>
        <w:t>自评</w:t>
      </w:r>
      <w:r>
        <w:rPr>
          <w:rFonts w:hint="eastAsia" w:ascii="仿宋" w:hAnsi="仿宋" w:eastAsia="仿宋" w:cs="仿宋"/>
          <w:kern w:val="0"/>
          <w:sz w:val="32"/>
          <w:szCs w:val="32"/>
        </w:rPr>
        <w:t>工作</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5月15日，</w:t>
      </w:r>
      <w:r>
        <w:rPr>
          <w:rFonts w:hint="eastAsia" w:ascii="仿宋" w:hAnsi="仿宋" w:eastAsia="仿宋" w:cs="仿宋"/>
          <w:kern w:val="0"/>
          <w:sz w:val="32"/>
          <w:szCs w:val="32"/>
        </w:rPr>
        <w:t>项目绩效评价小组</w:t>
      </w:r>
      <w:r>
        <w:rPr>
          <w:rFonts w:hint="eastAsia" w:ascii="仿宋" w:hAnsi="仿宋" w:eastAsia="仿宋" w:cs="仿宋"/>
          <w:kern w:val="0"/>
          <w:sz w:val="32"/>
          <w:szCs w:val="32"/>
          <w:lang w:eastAsia="zh-CN"/>
        </w:rPr>
        <w:t>在我局</w:t>
      </w:r>
      <w:r>
        <w:rPr>
          <w:rFonts w:hint="eastAsia" w:ascii="仿宋" w:hAnsi="仿宋" w:eastAsia="仿宋" w:cs="仿宋"/>
          <w:kern w:val="0"/>
          <w:sz w:val="32"/>
          <w:szCs w:val="32"/>
          <w:lang w:val="en-US" w:eastAsia="zh-CN"/>
        </w:rPr>
        <w:t>1929会议室</w:t>
      </w:r>
      <w:r>
        <w:rPr>
          <w:rFonts w:hint="eastAsia" w:ascii="仿宋" w:hAnsi="仿宋" w:eastAsia="仿宋" w:cs="仿宋"/>
          <w:kern w:val="0"/>
          <w:sz w:val="32"/>
          <w:szCs w:val="32"/>
        </w:rPr>
        <w:t>根据项目情况讨论研究进行复评并形成评价报告。</w:t>
      </w:r>
    </w:p>
    <w:p>
      <w:pPr>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三、绩效评价指标分析情况</w:t>
      </w:r>
    </w:p>
    <w:tbl>
      <w:tblPr>
        <w:tblStyle w:val="5"/>
        <w:tblW w:w="10499" w:type="dxa"/>
        <w:jc w:val="center"/>
        <w:tblLayout w:type="fixed"/>
        <w:tblCellMar>
          <w:top w:w="0" w:type="dxa"/>
          <w:left w:w="108" w:type="dxa"/>
          <w:bottom w:w="0" w:type="dxa"/>
          <w:right w:w="108" w:type="dxa"/>
        </w:tblCellMar>
      </w:tblPr>
      <w:tblGrid>
        <w:gridCol w:w="640"/>
        <w:gridCol w:w="642"/>
        <w:gridCol w:w="1111"/>
        <w:gridCol w:w="1088"/>
        <w:gridCol w:w="1136"/>
        <w:gridCol w:w="24"/>
        <w:gridCol w:w="2267"/>
        <w:gridCol w:w="1129"/>
        <w:gridCol w:w="621"/>
        <w:gridCol w:w="147"/>
        <w:gridCol w:w="470"/>
        <w:gridCol w:w="614"/>
        <w:gridCol w:w="610"/>
      </w:tblGrid>
      <w:tr>
        <w:tblPrEx>
          <w:tblCellMar>
            <w:top w:w="0" w:type="dxa"/>
            <w:left w:w="108" w:type="dxa"/>
            <w:bottom w:w="0" w:type="dxa"/>
            <w:right w:w="108" w:type="dxa"/>
          </w:tblCellMar>
        </w:tblPrEx>
        <w:trPr>
          <w:trHeight w:val="454" w:hRule="exact"/>
          <w:jc w:val="center"/>
        </w:trPr>
        <w:tc>
          <w:tcPr>
            <w:tcW w:w="10499" w:type="dxa"/>
            <w:gridSpan w:val="13"/>
            <w:tcBorders>
              <w:top w:val="nil"/>
              <w:left w:val="nil"/>
              <w:bottom w:val="nil"/>
              <w:right w:val="nil"/>
            </w:tcBorders>
            <w:vAlign w:val="center"/>
          </w:tcPr>
          <w:p>
            <w:pPr>
              <w:widowControl/>
              <w:spacing w:line="4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10499" w:type="dxa"/>
            <w:gridSpan w:val="13"/>
            <w:tcBorders>
              <w:top w:val="nil"/>
              <w:left w:val="nil"/>
              <w:bottom w:val="single" w:color="auto" w:sz="4" w:space="0"/>
              <w:right w:val="nil"/>
            </w:tcBorders>
          </w:tcPr>
          <w:p>
            <w:pPr>
              <w:widowControl/>
              <w:jc w:val="center"/>
              <w:rPr>
                <w:rFonts w:ascii="黑体" w:hAnsi="宋体" w:eastAsia="黑体" w:cs="宋体"/>
                <w:kern w:val="0"/>
                <w:szCs w:val="21"/>
              </w:rPr>
            </w:pPr>
            <w:r>
              <w:rPr>
                <w:rFonts w:hint="eastAsia" w:ascii="黑体" w:hAnsi="宋体" w:eastAsia="黑体" w:cs="宋体"/>
                <w:kern w:val="0"/>
                <w:szCs w:val="21"/>
              </w:rPr>
              <w:t>（2019年度）</w:t>
            </w:r>
          </w:p>
        </w:tc>
      </w:tr>
      <w:tr>
        <w:tblPrEx>
          <w:tblCellMar>
            <w:top w:w="0" w:type="dxa"/>
            <w:left w:w="108" w:type="dxa"/>
            <w:bottom w:w="0" w:type="dxa"/>
            <w:right w:w="108" w:type="dxa"/>
          </w:tblCellMar>
        </w:tblPrEx>
        <w:trPr>
          <w:trHeight w:val="340" w:hRule="exact"/>
          <w:jc w:val="center"/>
        </w:trPr>
        <w:tc>
          <w:tcPr>
            <w:tcW w:w="12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项目名称</w:t>
            </w:r>
          </w:p>
        </w:tc>
        <w:tc>
          <w:tcPr>
            <w:tcW w:w="9217"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南昌市本级2019年度土地供应计划及读地手册编制</w:t>
            </w:r>
          </w:p>
        </w:tc>
      </w:tr>
      <w:tr>
        <w:tblPrEx>
          <w:tblCellMar>
            <w:top w:w="0" w:type="dxa"/>
            <w:left w:w="108" w:type="dxa"/>
            <w:bottom w:w="0" w:type="dxa"/>
            <w:right w:w="108" w:type="dxa"/>
          </w:tblCellMar>
        </w:tblPrEx>
        <w:trPr>
          <w:trHeight w:val="340" w:hRule="exact"/>
          <w:jc w:val="center"/>
        </w:trPr>
        <w:tc>
          <w:tcPr>
            <w:tcW w:w="12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主管部门</w:t>
            </w:r>
          </w:p>
        </w:tc>
        <w:tc>
          <w:tcPr>
            <w:tcW w:w="562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2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实施单位</w:t>
            </w:r>
          </w:p>
        </w:tc>
        <w:tc>
          <w:tcPr>
            <w:tcW w:w="246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95" w:hRule="exact"/>
          <w:jc w:val="center"/>
        </w:trPr>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项目资金</w:t>
            </w:r>
            <w:r>
              <w:rPr>
                <w:rFonts w:hint="eastAsia" w:ascii="黑体" w:hAnsi="宋体" w:eastAsia="黑体" w:cs="宋体"/>
                <w:kern w:val="0"/>
                <w:szCs w:val="21"/>
              </w:rPr>
              <w:br w:type="textWrapping"/>
            </w:r>
            <w:r>
              <w:rPr>
                <w:rFonts w:hint="eastAsia" w:ascii="黑体" w:hAnsi="宋体" w:eastAsia="黑体" w:cs="宋体"/>
                <w:kern w:val="0"/>
                <w:szCs w:val="21"/>
              </w:rPr>
              <w:t>（万元）</w:t>
            </w:r>
          </w:p>
        </w:tc>
        <w:tc>
          <w:tcPr>
            <w:tcW w:w="21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年初</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预算数</w:t>
            </w:r>
          </w:p>
        </w:tc>
        <w:tc>
          <w:tcPr>
            <w:tcW w:w="22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全年</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预算数</w:t>
            </w:r>
          </w:p>
        </w:tc>
        <w:tc>
          <w:tcPr>
            <w:tcW w:w="112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全年</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执行数</w:t>
            </w:r>
          </w:p>
        </w:tc>
        <w:tc>
          <w:tcPr>
            <w:tcW w:w="7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10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执行率</w:t>
            </w:r>
          </w:p>
        </w:tc>
        <w:tc>
          <w:tcPr>
            <w:tcW w:w="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r>
      <w:tr>
        <w:tblPrEx>
          <w:tblCellMar>
            <w:top w:w="0" w:type="dxa"/>
            <w:left w:w="108" w:type="dxa"/>
            <w:bottom w:w="0" w:type="dxa"/>
            <w:right w:w="108" w:type="dxa"/>
          </w:tblCellMar>
        </w:tblPrEx>
        <w:trPr>
          <w:trHeight w:val="354" w:hRule="exact"/>
          <w:jc w:val="center"/>
        </w:trPr>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99"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kern w:val="0"/>
                <w:szCs w:val="21"/>
              </w:rPr>
              <w:t>年度资金总额</w:t>
            </w:r>
          </w:p>
        </w:tc>
        <w:tc>
          <w:tcPr>
            <w:tcW w:w="11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35万元</w:t>
            </w:r>
          </w:p>
        </w:tc>
        <w:tc>
          <w:tcPr>
            <w:tcW w:w="22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34.2万元</w:t>
            </w:r>
          </w:p>
        </w:tc>
        <w:tc>
          <w:tcPr>
            <w:tcW w:w="112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34.2万元</w:t>
            </w:r>
          </w:p>
        </w:tc>
        <w:tc>
          <w:tcPr>
            <w:tcW w:w="7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10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r>
      <w:tr>
        <w:tblPrEx>
          <w:tblCellMar>
            <w:top w:w="0" w:type="dxa"/>
            <w:left w:w="108" w:type="dxa"/>
            <w:bottom w:w="0" w:type="dxa"/>
            <w:right w:w="108" w:type="dxa"/>
          </w:tblCellMar>
        </w:tblPrEx>
        <w:trPr>
          <w:trHeight w:val="358" w:hRule="exact"/>
          <w:jc w:val="center"/>
        </w:trPr>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其中：当年财政拨款</w:t>
            </w:r>
          </w:p>
        </w:tc>
        <w:tc>
          <w:tcPr>
            <w:tcW w:w="11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35万元</w:t>
            </w:r>
          </w:p>
        </w:tc>
        <w:tc>
          <w:tcPr>
            <w:tcW w:w="22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34.2万元</w:t>
            </w:r>
          </w:p>
        </w:tc>
        <w:tc>
          <w:tcPr>
            <w:tcW w:w="112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34.2万元</w:t>
            </w:r>
          </w:p>
        </w:tc>
        <w:tc>
          <w:tcPr>
            <w:tcW w:w="7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10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47" w:hRule="exact"/>
          <w:jc w:val="center"/>
        </w:trPr>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 xml:space="preserve">      上年结转资金</w:t>
            </w:r>
          </w:p>
        </w:tc>
        <w:tc>
          <w:tcPr>
            <w:tcW w:w="11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2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2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10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55" w:hRule="exact"/>
          <w:jc w:val="center"/>
        </w:trPr>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 xml:space="preserve">  其他资金</w:t>
            </w:r>
          </w:p>
        </w:tc>
        <w:tc>
          <w:tcPr>
            <w:tcW w:w="11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2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2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10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00" w:hRule="exact"/>
          <w:jc w:val="center"/>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年度总体目标</w:t>
            </w:r>
          </w:p>
        </w:tc>
        <w:tc>
          <w:tcPr>
            <w:tcW w:w="626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预期目标</w:t>
            </w:r>
          </w:p>
        </w:tc>
        <w:tc>
          <w:tcPr>
            <w:tcW w:w="359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实际完成情况</w:t>
            </w:r>
          </w:p>
        </w:tc>
      </w:tr>
      <w:tr>
        <w:tblPrEx>
          <w:tblCellMar>
            <w:top w:w="0" w:type="dxa"/>
            <w:left w:w="108" w:type="dxa"/>
            <w:bottom w:w="0" w:type="dxa"/>
            <w:right w:w="108" w:type="dxa"/>
          </w:tblCellMar>
        </w:tblPrEx>
        <w:trPr>
          <w:trHeight w:val="597"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26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35万元</w:t>
            </w:r>
          </w:p>
        </w:tc>
        <w:tc>
          <w:tcPr>
            <w:tcW w:w="359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34.2万元</w:t>
            </w:r>
          </w:p>
        </w:tc>
      </w:tr>
      <w:tr>
        <w:tblPrEx>
          <w:tblCellMar>
            <w:top w:w="0" w:type="dxa"/>
            <w:left w:w="108" w:type="dxa"/>
            <w:bottom w:w="0" w:type="dxa"/>
            <w:right w:w="108" w:type="dxa"/>
          </w:tblCellMar>
        </w:tblPrEx>
        <w:trPr>
          <w:trHeight w:val="533" w:hRule="exact"/>
          <w:jc w:val="center"/>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64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一级指标</w:t>
            </w:r>
          </w:p>
        </w:tc>
        <w:tc>
          <w:tcPr>
            <w:tcW w:w="11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二级指标</w:t>
            </w:r>
          </w:p>
        </w:tc>
        <w:tc>
          <w:tcPr>
            <w:tcW w:w="22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三级指标</w:t>
            </w:r>
          </w:p>
        </w:tc>
        <w:tc>
          <w:tcPr>
            <w:tcW w:w="22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指标值</w:t>
            </w:r>
          </w:p>
        </w:tc>
        <w:tc>
          <w:tcPr>
            <w:tcW w:w="17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完成值</w:t>
            </w:r>
          </w:p>
        </w:tc>
        <w:tc>
          <w:tcPr>
            <w:tcW w:w="6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61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c>
          <w:tcPr>
            <w:tcW w:w="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 w:val="15"/>
                <w:szCs w:val="15"/>
              </w:rPr>
              <w:t>偏差原因分析</w:t>
            </w:r>
            <w:r>
              <w:rPr>
                <w:rFonts w:hint="eastAsia" w:ascii="黑体" w:hAnsi="宋体" w:eastAsia="黑体" w:cs="宋体"/>
                <w:kern w:val="0"/>
                <w:szCs w:val="21"/>
              </w:rPr>
              <w:t>及改进措施</w:t>
            </w:r>
          </w:p>
        </w:tc>
      </w:tr>
      <w:tr>
        <w:tblPrEx>
          <w:tblCellMar>
            <w:top w:w="0" w:type="dxa"/>
            <w:left w:w="108" w:type="dxa"/>
            <w:bottom w:w="0" w:type="dxa"/>
            <w:right w:w="108" w:type="dxa"/>
          </w:tblCellMar>
        </w:tblPrEx>
        <w:trPr>
          <w:trHeight w:val="1016"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4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（50分）</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（20分）</w:t>
            </w:r>
          </w:p>
        </w:tc>
        <w:tc>
          <w:tcPr>
            <w:tcW w:w="224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Cs w:val="21"/>
              </w:rPr>
            </w:pPr>
            <w:r>
              <w:rPr>
                <w:rFonts w:hint="eastAsia" w:ascii="黑体" w:hAnsi="黑体" w:eastAsia="黑体"/>
                <w:color w:val="000000"/>
                <w:szCs w:val="21"/>
              </w:rPr>
              <w:t>完成成果报告数</w:t>
            </w:r>
          </w:p>
        </w:tc>
        <w:tc>
          <w:tcPr>
            <w:tcW w:w="2267"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Cs w:val="21"/>
              </w:rPr>
            </w:pPr>
            <w:r>
              <w:rPr>
                <w:rFonts w:hint="eastAsia" w:ascii="黑体" w:hAnsi="黑体" w:eastAsia="黑体"/>
                <w:color w:val="000000"/>
                <w:szCs w:val="21"/>
              </w:rPr>
              <w:t>2</w:t>
            </w:r>
          </w:p>
        </w:tc>
        <w:tc>
          <w:tcPr>
            <w:tcW w:w="1750"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Cs w:val="21"/>
              </w:rPr>
            </w:pPr>
            <w:r>
              <w:rPr>
                <w:rFonts w:hint="eastAsia" w:ascii="黑体" w:hAnsi="黑体" w:eastAsia="黑体"/>
                <w:color w:val="000000"/>
                <w:szCs w:val="21"/>
              </w:rPr>
              <w:t>2</w:t>
            </w:r>
          </w:p>
        </w:tc>
        <w:tc>
          <w:tcPr>
            <w:tcW w:w="617"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Cs w:val="21"/>
              </w:rPr>
            </w:pPr>
            <w:r>
              <w:rPr>
                <w:rFonts w:hint="eastAsia" w:ascii="黑体" w:hAnsi="黑体" w:eastAsia="黑体"/>
                <w:color w:val="000000"/>
                <w:szCs w:val="21"/>
              </w:rPr>
              <w:t>20</w:t>
            </w:r>
          </w:p>
        </w:tc>
        <w:tc>
          <w:tcPr>
            <w:tcW w:w="6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20</w:t>
            </w:r>
          </w:p>
        </w:tc>
        <w:tc>
          <w:tcPr>
            <w:tcW w:w="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88"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24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Cs w:val="21"/>
              </w:rPr>
            </w:pPr>
            <w:r>
              <w:rPr>
                <w:rFonts w:hint="eastAsia" w:ascii="黑体" w:hAnsi="黑体" w:eastAsia="黑体"/>
                <w:color w:val="000000"/>
                <w:szCs w:val="21"/>
              </w:rPr>
              <w:t>质量达标率</w:t>
            </w:r>
          </w:p>
        </w:tc>
        <w:tc>
          <w:tcPr>
            <w:tcW w:w="22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100%</w:t>
            </w:r>
          </w:p>
        </w:tc>
        <w:tc>
          <w:tcPr>
            <w:tcW w:w="1750"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100%</w:t>
            </w:r>
          </w:p>
        </w:tc>
        <w:tc>
          <w:tcPr>
            <w:tcW w:w="617"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15</w:t>
            </w:r>
          </w:p>
        </w:tc>
        <w:tc>
          <w:tcPr>
            <w:tcW w:w="6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15</w:t>
            </w:r>
          </w:p>
        </w:tc>
        <w:tc>
          <w:tcPr>
            <w:tcW w:w="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03"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（5分）</w:t>
            </w:r>
          </w:p>
        </w:tc>
        <w:tc>
          <w:tcPr>
            <w:tcW w:w="224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Cs w:val="21"/>
              </w:rPr>
            </w:pPr>
            <w:r>
              <w:rPr>
                <w:rFonts w:hint="eastAsia" w:ascii="黑体" w:hAnsi="黑体" w:eastAsia="黑体"/>
                <w:color w:val="000000"/>
                <w:szCs w:val="21"/>
              </w:rPr>
              <w:t>项目完成及时，在规定期限内完成</w:t>
            </w:r>
          </w:p>
        </w:tc>
        <w:tc>
          <w:tcPr>
            <w:tcW w:w="22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100%</w:t>
            </w:r>
          </w:p>
        </w:tc>
        <w:tc>
          <w:tcPr>
            <w:tcW w:w="1750"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100%</w:t>
            </w:r>
          </w:p>
        </w:tc>
        <w:tc>
          <w:tcPr>
            <w:tcW w:w="617"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5</w:t>
            </w:r>
          </w:p>
        </w:tc>
        <w:tc>
          <w:tcPr>
            <w:tcW w:w="6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5</w:t>
            </w:r>
          </w:p>
        </w:tc>
        <w:tc>
          <w:tcPr>
            <w:tcW w:w="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06"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224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Cs w:val="21"/>
              </w:rPr>
            </w:pPr>
            <w:r>
              <w:rPr>
                <w:rFonts w:hint="eastAsia" w:ascii="黑体" w:hAnsi="黑体" w:eastAsia="黑体"/>
                <w:color w:val="000000"/>
                <w:szCs w:val="21"/>
              </w:rPr>
              <w:t>成本控制在35万元</w:t>
            </w:r>
          </w:p>
        </w:tc>
        <w:tc>
          <w:tcPr>
            <w:tcW w:w="22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全年实际支出在34.2万元</w:t>
            </w:r>
          </w:p>
        </w:tc>
        <w:tc>
          <w:tcPr>
            <w:tcW w:w="1750"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100%</w:t>
            </w:r>
          </w:p>
        </w:tc>
        <w:tc>
          <w:tcPr>
            <w:tcW w:w="617"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10</w:t>
            </w:r>
          </w:p>
        </w:tc>
        <w:tc>
          <w:tcPr>
            <w:tcW w:w="6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10</w:t>
            </w:r>
          </w:p>
        </w:tc>
        <w:tc>
          <w:tcPr>
            <w:tcW w:w="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3970"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4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（30分）</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经济效益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tc>
        <w:tc>
          <w:tcPr>
            <w:tcW w:w="224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Cs w:val="21"/>
              </w:rPr>
            </w:pPr>
            <w:r>
              <w:rPr>
                <w:rFonts w:hint="eastAsia" w:ascii="黑体" w:hAnsi="黑体" w:eastAsia="黑体"/>
                <w:color w:val="000000"/>
                <w:szCs w:val="21"/>
              </w:rPr>
              <w:t>科学合理编制确定规模、时序，加大住宅用地供应规模，保证普通商品住房特别是保障性住房建设用地需求，把握供地时序，均衡供地节奏，提高土地供应效率，维护了南昌市土地市场平稳、有序发展，有效抑制房地产价格快速上涨，稳定房地产市场预期</w:t>
            </w:r>
          </w:p>
        </w:tc>
        <w:tc>
          <w:tcPr>
            <w:tcW w:w="22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科学合理编制确定规模、时序，加大住宅用地供应规模，保证普通商品住房特别是保障性住房建设用地需求，把握供地时序，均衡供地节奏，提高土地供应效率，维护了南昌市土地市场平稳、有序发展，有效抑制房地产价格快速上涨，稳定房地产市场预期</w:t>
            </w:r>
          </w:p>
        </w:tc>
        <w:tc>
          <w:tcPr>
            <w:tcW w:w="1750"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100%</w:t>
            </w:r>
          </w:p>
        </w:tc>
        <w:tc>
          <w:tcPr>
            <w:tcW w:w="617"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10</w:t>
            </w:r>
          </w:p>
        </w:tc>
        <w:tc>
          <w:tcPr>
            <w:tcW w:w="6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9</w:t>
            </w:r>
          </w:p>
        </w:tc>
        <w:tc>
          <w:tcPr>
            <w:tcW w:w="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3272"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tc>
        <w:tc>
          <w:tcPr>
            <w:tcW w:w="224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Cs w:val="21"/>
              </w:rPr>
            </w:pPr>
            <w:r>
              <w:rPr>
                <w:rFonts w:hint="eastAsia" w:ascii="黑体" w:hAnsi="黑体" w:eastAsia="黑体"/>
                <w:color w:val="000000"/>
                <w:szCs w:val="21"/>
              </w:rPr>
              <w:t>促进土地供应的规范化、制度化、科学化，进一步促进节约集约利用土地、提高土地利用效益、优化国有建设用地供应结构和空间布局</w:t>
            </w:r>
          </w:p>
        </w:tc>
        <w:tc>
          <w:tcPr>
            <w:tcW w:w="22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促进土地供应的规范化、制度化、科学化，进一步促进节约集约利用土地、提高土地利用效益、优化国有建设用地供应结构和空间布局</w:t>
            </w:r>
          </w:p>
        </w:tc>
        <w:tc>
          <w:tcPr>
            <w:tcW w:w="1750"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100%</w:t>
            </w:r>
          </w:p>
        </w:tc>
        <w:tc>
          <w:tcPr>
            <w:tcW w:w="617"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10</w:t>
            </w:r>
          </w:p>
        </w:tc>
        <w:tc>
          <w:tcPr>
            <w:tcW w:w="6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9</w:t>
            </w:r>
          </w:p>
        </w:tc>
        <w:tc>
          <w:tcPr>
            <w:tcW w:w="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34"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生态效益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tc>
        <w:tc>
          <w:tcPr>
            <w:tcW w:w="224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Cs w:val="21"/>
              </w:rPr>
            </w:pPr>
            <w:r>
              <w:rPr>
                <w:rFonts w:hint="eastAsia" w:ascii="黑体" w:hAnsi="黑体" w:eastAsia="黑体"/>
                <w:color w:val="000000"/>
                <w:szCs w:val="21"/>
              </w:rPr>
              <w:t>/</w:t>
            </w:r>
          </w:p>
        </w:tc>
        <w:tc>
          <w:tcPr>
            <w:tcW w:w="2267"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Cs w:val="21"/>
              </w:rPr>
            </w:pPr>
            <w:r>
              <w:rPr>
                <w:rFonts w:hint="eastAsia" w:ascii="黑体" w:hAnsi="黑体" w:eastAsia="黑体"/>
                <w:color w:val="000000"/>
                <w:szCs w:val="21"/>
              </w:rPr>
              <w:t>/</w:t>
            </w:r>
          </w:p>
        </w:tc>
        <w:tc>
          <w:tcPr>
            <w:tcW w:w="1750"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Cs w:val="21"/>
              </w:rPr>
            </w:pPr>
            <w:r>
              <w:rPr>
                <w:rFonts w:hint="eastAsia" w:ascii="黑体" w:hAnsi="黑体" w:eastAsia="黑体"/>
                <w:color w:val="000000"/>
                <w:szCs w:val="21"/>
              </w:rPr>
              <w:t>/</w:t>
            </w:r>
          </w:p>
        </w:tc>
        <w:tc>
          <w:tcPr>
            <w:tcW w:w="617"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w:t>
            </w:r>
          </w:p>
        </w:tc>
        <w:tc>
          <w:tcPr>
            <w:tcW w:w="6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w:t>
            </w:r>
          </w:p>
        </w:tc>
        <w:tc>
          <w:tcPr>
            <w:tcW w:w="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2012"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可持续影响指标</w:t>
            </w:r>
          </w:p>
        </w:tc>
        <w:tc>
          <w:tcPr>
            <w:tcW w:w="224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Cs w:val="21"/>
              </w:rPr>
            </w:pPr>
            <w:r>
              <w:rPr>
                <w:rFonts w:hint="eastAsia" w:ascii="黑体" w:hAnsi="黑体" w:eastAsia="黑体"/>
                <w:color w:val="000000"/>
                <w:szCs w:val="21"/>
              </w:rPr>
              <w:t>土地供应计划及读地手册编制项目的进行对南昌市土地市场平稳发展有良好的的作用，项目可持续性长</w:t>
            </w:r>
          </w:p>
        </w:tc>
        <w:tc>
          <w:tcPr>
            <w:tcW w:w="22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项目的进行对南昌市土地市场平稳发展有良好的的作用，项目可持续性长</w:t>
            </w:r>
          </w:p>
        </w:tc>
        <w:tc>
          <w:tcPr>
            <w:tcW w:w="1750"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95%</w:t>
            </w:r>
          </w:p>
        </w:tc>
        <w:tc>
          <w:tcPr>
            <w:tcW w:w="617"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10</w:t>
            </w:r>
          </w:p>
        </w:tc>
        <w:tc>
          <w:tcPr>
            <w:tcW w:w="6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9</w:t>
            </w:r>
          </w:p>
        </w:tc>
        <w:tc>
          <w:tcPr>
            <w:tcW w:w="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515"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服务对象满意度指标（10分）</w:t>
            </w:r>
          </w:p>
        </w:tc>
        <w:tc>
          <w:tcPr>
            <w:tcW w:w="224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Cs w:val="21"/>
              </w:rPr>
            </w:pPr>
            <w:r>
              <w:rPr>
                <w:rFonts w:hint="eastAsia" w:ascii="黑体" w:hAnsi="黑体" w:eastAsia="黑体"/>
                <w:color w:val="000000"/>
                <w:szCs w:val="21"/>
              </w:rPr>
              <w:t>社会公众或服务对象对服务态度满意度</w:t>
            </w:r>
          </w:p>
        </w:tc>
        <w:tc>
          <w:tcPr>
            <w:tcW w:w="22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95%以上计满分，85%以上计3分，70%以上计2分，60%以上计1分，60%以下不计分</w:t>
            </w:r>
          </w:p>
        </w:tc>
        <w:tc>
          <w:tcPr>
            <w:tcW w:w="1750"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98%</w:t>
            </w:r>
          </w:p>
        </w:tc>
        <w:tc>
          <w:tcPr>
            <w:tcW w:w="617"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10</w:t>
            </w:r>
          </w:p>
        </w:tc>
        <w:tc>
          <w:tcPr>
            <w:tcW w:w="6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10</w:t>
            </w:r>
          </w:p>
        </w:tc>
        <w:tc>
          <w:tcPr>
            <w:tcW w:w="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88" w:hRule="exact"/>
          <w:jc w:val="center"/>
        </w:trPr>
        <w:tc>
          <w:tcPr>
            <w:tcW w:w="8658"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6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61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97</w:t>
            </w:r>
          </w:p>
        </w:tc>
        <w:tc>
          <w:tcPr>
            <w:tcW w:w="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bl>
    <w:p>
      <w:pPr>
        <w:spacing w:line="600" w:lineRule="exact"/>
        <w:outlineLvl w:val="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四、绩效评价指标分析</w:t>
      </w:r>
    </w:p>
    <w:p>
      <w:pPr>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(一)项目投入</w:t>
      </w:r>
      <w:r>
        <w:rPr>
          <w:rFonts w:hint="eastAsia" w:ascii="楷体" w:hAnsi="楷体" w:eastAsia="楷体" w:cs="楷体"/>
          <w:b/>
          <w:sz w:val="32"/>
          <w:szCs w:val="32"/>
          <w:lang w:eastAsia="zh-CN"/>
        </w:rPr>
        <w:t>情况</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年初预算数35万元，根据政府采购确定的采购金额及项目合同向财政申请拨付实际使用资金34.2万元，全年执行情况较好。项目于2019年年初制定和申报了项目资金需求计划，并将项目所需资金纳入年初预算。经政府采购年初资金预算是否与项目资金需求量相匹配，执行率较好，且在项目实施过程中制定了项目资金管理办法和分配方案；资金使用合规、合理。评价得分10分。</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（1）项目立项规范性，市局以（洪国土资办字[2019]3号文件立项，文件符合要求；</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（2）项目绩效目标明确，编制南昌市本级2019年土地供应计划及读地手册；财政资金拨付给南昌市国土资源勘测规划院有限公司，拨付目标明确；</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（3）预算资金执行率=34.2/35=97.7%；</w:t>
      </w:r>
    </w:p>
    <w:p>
      <w:pPr>
        <w:spacing w:line="600" w:lineRule="exact"/>
        <w:ind w:firstLine="643" w:firstLineChars="200"/>
        <w:outlineLvl w:val="0"/>
        <w:rPr>
          <w:rFonts w:hint="eastAsia" w:ascii="楷体" w:hAnsi="楷体" w:eastAsia="楷体" w:cs="楷体"/>
          <w:b/>
          <w:sz w:val="32"/>
          <w:szCs w:val="32"/>
          <w:lang w:eastAsia="zh-CN"/>
        </w:rPr>
      </w:pPr>
      <w:r>
        <w:rPr>
          <w:rFonts w:hint="eastAsia" w:ascii="楷体" w:hAnsi="楷体" w:eastAsia="楷体" w:cs="楷体"/>
          <w:b/>
          <w:sz w:val="32"/>
          <w:szCs w:val="32"/>
          <w:lang w:eastAsia="zh-CN"/>
        </w:rPr>
        <w:t>（二）项目过程情况</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（1）制订健全的业务管理制度，得3分；业务管理制度严格执行，得2分；</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（2）土地供应计划撰写，得3分；读地手册撰写，得2分；</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（3）健全的财务管理制度得3分；专项资金管理制度按统一规定执行，得2分；</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（4）专专项资金专款专用，得3分；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eastAsia="仿宋_GB2312"/>
          <w:color w:val="auto"/>
          <w:sz w:val="32"/>
          <w:szCs w:val="32"/>
          <w:lang w:val="en-US" w:eastAsia="zh-CN"/>
        </w:rPr>
        <w:t>该项目经局领导集体研究同意，财务手续完善，按照财务管理要求，项目进度款支付，由经办业务处室提出付款请求，业务处室负责人签字审核，报分管局领导批准后，再转报至局财务处审核后，由分管财务局领导签批后，方能支付项目进度款，符合市自然资源局经费管理开支办法的规定，得2分。</w:t>
      </w:r>
    </w:p>
    <w:p>
      <w:pPr>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三</w:t>
      </w:r>
      <w:r>
        <w:rPr>
          <w:rFonts w:hint="eastAsia" w:ascii="楷体" w:hAnsi="楷体" w:eastAsia="楷体" w:cs="楷体"/>
          <w:b/>
          <w:sz w:val="32"/>
          <w:szCs w:val="32"/>
        </w:rPr>
        <w:t>)项目产出指标，评价得分50分</w:t>
      </w:r>
    </w:p>
    <w:p>
      <w:pPr>
        <w:widowControl/>
        <w:spacing w:line="600" w:lineRule="exact"/>
        <w:ind w:firstLine="567"/>
        <w:rPr>
          <w:rFonts w:ascii="仿宋_GB2312" w:hAnsi="仿宋_GB2312" w:eastAsia="仿宋_GB2312" w:cs="仿宋_GB2312"/>
          <w:sz w:val="32"/>
          <w:szCs w:val="32"/>
        </w:rPr>
      </w:pPr>
      <w:r>
        <w:rPr>
          <w:rFonts w:hint="eastAsia" w:ascii="仿宋_GB2312" w:hAnsi="仿宋_GB2312" w:eastAsia="仿宋_GB2312" w:cs="仿宋_GB2312"/>
          <w:sz w:val="32"/>
          <w:szCs w:val="32"/>
        </w:rPr>
        <w:t>1、数量指标</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根据最终成果核算，数量符合项目合同要求，计划编制供应计划及读地手册各一本，实际完成供应计划及读地手册各一本，该项得20分。</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2、质量指标</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2019年度供应计划编制符合国家规范要求，对土地供应工作起到一定的指引作用且满足使用功能要求，完成质量较高。该项得15分。</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3、时效指标</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该项目1月完成招投标，2月—3月手册编制，并按照合同约定于3月31日前完成了成果提交并上传至土地动态市场监测监管网，项目在规定期限内完成。该项得5分。</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4、成本指标</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年初项目预算金额为35万元，实际决算支出为34.2万元，经费结余0.8万。该项得10分。</w:t>
      </w:r>
    </w:p>
    <w:p>
      <w:pPr>
        <w:widowControl/>
        <w:spacing w:line="600" w:lineRule="exact"/>
        <w:ind w:firstLine="643" w:firstLineChars="200"/>
        <w:rPr>
          <w:rFonts w:ascii="仿宋_GB2312" w:hAnsi="仿宋_GB2312" w:eastAsia="仿宋_GB2312" w:cs="仿宋_GB2312"/>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四</w:t>
      </w:r>
      <w:r>
        <w:rPr>
          <w:rFonts w:hint="eastAsia" w:ascii="楷体" w:hAnsi="楷体" w:eastAsia="楷体" w:cs="楷体"/>
          <w:b/>
          <w:sz w:val="32"/>
          <w:szCs w:val="32"/>
        </w:rPr>
        <w:t>)项目效果指标，评价得分25分</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1、经济效益</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学合理编制确定规模、时序，加大住宅用地供应规模，保证普通商品住房特别是保障性住房建设用地需求，把握供地时序，均衡供地节奏，提高土地供应效率，维护了南昌市土地市场平稳、有序发展，有效抑制房地产价格快速上涨，稳定房地产市场预期。该项得9分。</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2、社会效益</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促进土地供应的规范化、制度化、科学化，进一步促进节约集约利用土地、提高土地利用效益、优化国有建设用地供应结构和空间布局、实现土地资源可持续利用。评价得分10分，复评分为9分。</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3、生态效益，该项不适用。</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4、可持续影响，该项目成果在2019度得到较好运用，执行情况较好。评价得9分。</w:t>
      </w:r>
    </w:p>
    <w:p>
      <w:pPr>
        <w:widowControl/>
        <w:spacing w:line="600" w:lineRule="exact"/>
        <w:ind w:firstLine="643" w:firstLineChars="200"/>
        <w:rPr>
          <w:rFonts w:ascii="楷体" w:hAnsi="楷体" w:eastAsia="楷体" w:cs="楷体"/>
          <w:b/>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五</w:t>
      </w:r>
      <w:r>
        <w:rPr>
          <w:rFonts w:hint="eastAsia" w:ascii="楷体" w:hAnsi="楷体" w:eastAsia="楷体" w:cs="楷体"/>
          <w:b/>
          <w:sz w:val="32"/>
          <w:szCs w:val="32"/>
        </w:rPr>
        <w:t>)</w:t>
      </w:r>
      <w:r>
        <w:rPr>
          <w:rFonts w:hint="eastAsia"/>
        </w:rPr>
        <w:t xml:space="preserve"> </w:t>
      </w:r>
      <w:r>
        <w:rPr>
          <w:rFonts w:hint="eastAsia" w:ascii="楷体" w:hAnsi="楷体" w:eastAsia="楷体" w:cs="楷体"/>
          <w:b/>
          <w:sz w:val="32"/>
          <w:szCs w:val="32"/>
        </w:rPr>
        <w:t>社会公众或服务对象满意度</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实施而受到影响的部门、群体或个人对项目的实施过程、结果是否满意。95%以上计满分，85%以上计3分，70%以上计2分，60%以上计1分，60%以下不计分。供应计划成果按要求上传至土地市场动态监测监管系统，读地手册使用次数达200余次，98%的使用主体及社会公众表示内容详实美观，十分满意，该项指标评价得10分。</w:t>
      </w:r>
    </w:p>
    <w:p>
      <w:pPr>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lang w:eastAsia="zh-CN"/>
        </w:rPr>
        <w:t>五</w:t>
      </w:r>
      <w:r>
        <w:rPr>
          <w:rFonts w:hint="eastAsia" w:ascii="黑体" w:hAnsi="黑体" w:eastAsia="黑体" w:cs="黑体"/>
          <w:bCs/>
          <w:sz w:val="32"/>
          <w:szCs w:val="32"/>
        </w:rPr>
        <w:t>、综合评价情况及评价结论</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通过全面分析和综合评价专项资金34.2万元使用管理情况，从投入、产出、效益及社会公众或服务对象满意度进行绩效评价，南昌市本级2019年度土地供应计划编制专项资金综合得分97分，绩效为优秀。</w:t>
      </w:r>
    </w:p>
    <w:p>
      <w:pPr>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lang w:eastAsia="zh-CN"/>
        </w:rPr>
        <w:t>六</w:t>
      </w:r>
      <w:r>
        <w:rPr>
          <w:rFonts w:hint="eastAsia" w:ascii="黑体" w:hAnsi="黑体" w:eastAsia="黑体" w:cs="黑体"/>
          <w:bCs/>
          <w:sz w:val="32"/>
          <w:szCs w:val="32"/>
        </w:rPr>
        <w:t>、存在的问题及困难</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后续工作计划。该项目是通过政府采购的服务性项目，项目技术服务支出较单一，在以后的工作中</w:t>
      </w:r>
      <w:r>
        <w:rPr>
          <w:rFonts w:hint="eastAsia" w:ascii="仿宋_GB2312" w:eastAsia="仿宋_GB2312"/>
          <w:sz w:val="32"/>
          <w:szCs w:val="32"/>
        </w:rPr>
        <w:t>，</w:t>
      </w:r>
      <w:r>
        <w:rPr>
          <w:rFonts w:ascii="仿宋_GB2312" w:eastAsia="仿宋_GB2312"/>
          <w:sz w:val="32"/>
          <w:szCs w:val="32"/>
        </w:rPr>
        <w:t>将从项目任务编制、技术改进、计划实施等方面结合实际严格加强管理，确保项目成果充分发挥作用。</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主要经验及做法、存在问题和建议。项目指标面临着物价上涨、工作任务增加等因素的影响，</w:t>
      </w:r>
      <w:r>
        <w:rPr>
          <w:rFonts w:hint="eastAsia" w:ascii="仿宋_GB2312" w:eastAsia="仿宋_GB2312"/>
          <w:sz w:val="32"/>
          <w:szCs w:val="32"/>
        </w:rPr>
        <w:t>只能</w:t>
      </w:r>
      <w:r>
        <w:rPr>
          <w:rFonts w:ascii="仿宋_GB2312" w:eastAsia="仿宋_GB2312"/>
          <w:sz w:val="32"/>
          <w:szCs w:val="32"/>
        </w:rPr>
        <w:t>尽可能地用有限的经费平衡每年工作任务，尽量做到科学、合理的分配。</w:t>
      </w:r>
    </w:p>
    <w:p>
      <w:pPr>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lang w:eastAsia="zh-CN"/>
        </w:rPr>
        <w:t>七</w:t>
      </w:r>
      <w:bookmarkStart w:id="60" w:name="_GoBack"/>
      <w:bookmarkEnd w:id="60"/>
      <w:r>
        <w:rPr>
          <w:rFonts w:hint="eastAsia" w:ascii="黑体" w:hAnsi="黑体" w:eastAsia="黑体" w:cs="黑体"/>
          <w:bCs/>
          <w:sz w:val="32"/>
          <w:szCs w:val="32"/>
        </w:rPr>
        <w:t>、改进措施及建议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1、加强组织领导，加快项目实施。加强对项目的组织领导工作，必要时成立专项工作小组，强化组织协调工作，明确职责分工，加快推进项目实施工作。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2、加强项目资金管理。该项目未按计划完成与项目实施单位工作进度慢和项目资金拨付不及时都有着必然的联系。因此，建议及时拨付项目资金，促进项目进度加快，从资金方面为项目尽快完成给予保障。</w:t>
      </w:r>
    </w:p>
    <w:p>
      <w:pPr>
        <w:spacing w:line="600" w:lineRule="exact"/>
        <w:ind w:firstLine="640" w:firstLineChars="200"/>
        <w:rPr>
          <w:b/>
          <w:sz w:val="32"/>
          <w:szCs w:val="32"/>
        </w:rPr>
      </w:pPr>
      <w:r>
        <w:rPr>
          <w:rFonts w:hint="eastAsia" w:ascii="仿宋_GB2312" w:eastAsia="仿宋_GB2312"/>
          <w:sz w:val="32"/>
          <w:szCs w:val="32"/>
        </w:rPr>
        <w:t>3、规范绩效评价的工作程序。每一次单位自评工作必须按程序进行，成立工作组，制定工作方案，收集资料，设计指标，实地抽查等必要的程序，做到绩效评价有理有据，切实可行，评价结果真实可靠，有利于评价结果的引用，并尽早报送及公开绩效自评报告。</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F3BCF"/>
    <w:multiLevelType w:val="singleLevel"/>
    <w:tmpl w:val="8FAF3BC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326B2"/>
    <w:rsid w:val="000235C5"/>
    <w:rsid w:val="000506E4"/>
    <w:rsid w:val="00187A74"/>
    <w:rsid w:val="001B4EE5"/>
    <w:rsid w:val="001C5C2A"/>
    <w:rsid w:val="00427505"/>
    <w:rsid w:val="004B13B7"/>
    <w:rsid w:val="004F11B7"/>
    <w:rsid w:val="00561029"/>
    <w:rsid w:val="00566686"/>
    <w:rsid w:val="005B6896"/>
    <w:rsid w:val="005E0ACD"/>
    <w:rsid w:val="005F7E25"/>
    <w:rsid w:val="006123BD"/>
    <w:rsid w:val="00646F0D"/>
    <w:rsid w:val="0071540F"/>
    <w:rsid w:val="007C1241"/>
    <w:rsid w:val="00944729"/>
    <w:rsid w:val="00A96A84"/>
    <w:rsid w:val="00B20628"/>
    <w:rsid w:val="00B70634"/>
    <w:rsid w:val="00D01D8F"/>
    <w:rsid w:val="00D47DA6"/>
    <w:rsid w:val="00E60D66"/>
    <w:rsid w:val="00E66E38"/>
    <w:rsid w:val="00F6540F"/>
    <w:rsid w:val="00F77EFF"/>
    <w:rsid w:val="1A1F019A"/>
    <w:rsid w:val="1A231B01"/>
    <w:rsid w:val="1FA71662"/>
    <w:rsid w:val="239F3607"/>
    <w:rsid w:val="5A806913"/>
    <w:rsid w:val="6112642B"/>
    <w:rsid w:val="76A71964"/>
    <w:rsid w:val="77DB0BA4"/>
    <w:rsid w:val="78911D12"/>
    <w:rsid w:val="7B9326B2"/>
    <w:rsid w:val="7FEA1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9"/>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paragraph" w:customStyle="1" w:styleId="8">
    <w:name w:val="标题2闸北"/>
    <w:basedOn w:val="2"/>
    <w:qFormat/>
    <w:uiPriority w:val="0"/>
    <w:pPr>
      <w:keepNext w:val="0"/>
      <w:keepLines w:val="0"/>
      <w:widowControl/>
      <w:spacing w:before="200" w:beforeLines="50" w:after="0" w:afterLines="50" w:line="360" w:lineRule="auto"/>
      <w:jc w:val="center"/>
      <w:outlineLvl w:val="0"/>
    </w:pPr>
    <w:rPr>
      <w:rFonts w:ascii="黑体" w:hAnsi="Cambria" w:eastAsia="黑体" w:cs="Times New Roman"/>
      <w:kern w:val="0"/>
      <w:sz w:val="30"/>
      <w:szCs w:val="30"/>
      <w:lang w:val="zh-CN"/>
    </w:rPr>
  </w:style>
  <w:style w:type="character" w:customStyle="1" w:styleId="9">
    <w:name w:val="标题 2 Char"/>
    <w:basedOn w:val="6"/>
    <w:link w:val="2"/>
    <w:semiHidden/>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WRGHO</Company>
  <Pages>12</Pages>
  <Words>787</Words>
  <Characters>4488</Characters>
  <Lines>37</Lines>
  <Paragraphs>10</Paragraphs>
  <TotalTime>1</TotalTime>
  <ScaleCrop>false</ScaleCrop>
  <LinksUpToDate>false</LinksUpToDate>
  <CharactersWithSpaces>5265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2020-04-27T06:56:00Z</dcterms:created>
  <dc:creator>Administrator</dc:creator>
  <cp:lastModifiedBy>璐</cp:lastModifiedBy>
  <cp:lastPrinted>2020-05-22T07:15:00Z</cp:lastPrinted>
  <dcterms:modified xsi:type="dcterms:W3CDTF">2020-06-24T02:04:09Z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