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jc w:val="center"/>
        <w:rPr>
          <w:rFonts w:ascii="黑体" w:hAnsi="黑体" w:eastAsia="黑体" w:cs="黑体"/>
          <w:sz w:val="44"/>
          <w:szCs w:val="44"/>
        </w:rPr>
      </w:pPr>
      <w:r>
        <w:rPr>
          <w:rFonts w:hint="eastAsia" w:ascii="黑体" w:hAnsi="黑体" w:eastAsia="黑体" w:cs="黑体"/>
          <w:sz w:val="44"/>
          <w:szCs w:val="44"/>
        </w:rPr>
        <w:t>南昌市本级不动产登记数据</w:t>
      </w:r>
    </w:p>
    <w:p>
      <w:pPr>
        <w:spacing w:afterLines="100"/>
        <w:jc w:val="center"/>
        <w:rPr>
          <w:rFonts w:hint="eastAsia" w:ascii="黑体" w:hAnsi="黑体" w:eastAsia="黑体" w:cs="黑体"/>
          <w:sz w:val="44"/>
          <w:szCs w:val="44"/>
          <w:lang w:val="en-US" w:eastAsia="zh-CN"/>
        </w:rPr>
      </w:pPr>
      <w:r>
        <w:rPr>
          <w:rFonts w:hint="eastAsia" w:ascii="黑体" w:hAnsi="黑体" w:eastAsia="黑体" w:cs="黑体"/>
          <w:sz w:val="44"/>
          <w:szCs w:val="44"/>
        </w:rPr>
        <w:t>整合建库项目</w:t>
      </w:r>
      <w:bookmarkStart w:id="0" w:name="_Toc24348"/>
      <w:bookmarkStart w:id="1" w:name="_Toc500439644"/>
      <w:r>
        <w:rPr>
          <w:rFonts w:hint="eastAsia" w:ascii="黑体" w:hAnsi="黑体" w:eastAsia="黑体" w:cs="黑体"/>
          <w:sz w:val="44"/>
          <w:szCs w:val="44"/>
          <w:lang w:val="en-US" w:eastAsia="zh-CN"/>
        </w:rPr>
        <w:t>绩效自评报告</w:t>
      </w:r>
    </w:p>
    <w:p>
      <w:pPr>
        <w:widowControl/>
        <w:spacing w:before="156" w:after="156" w:line="540" w:lineRule="atLeast"/>
        <w:ind w:firstLine="640"/>
        <w:jc w:val="left"/>
        <w:rPr>
          <w:rFonts w:hint="eastAsia" w:ascii="仿宋" w:hAnsi="仿宋" w:eastAsia="仿宋" w:cs="仿宋"/>
          <w:sz w:val="28"/>
          <w:szCs w:val="28"/>
        </w:rPr>
      </w:pPr>
      <w:r>
        <w:rPr>
          <w:rFonts w:hint="eastAsia" w:ascii="仿宋" w:hAnsi="仿宋" w:eastAsia="仿宋" w:cs="仿宋"/>
          <w:sz w:val="28"/>
          <w:szCs w:val="28"/>
        </w:rPr>
        <w:t>财政支出绩效评价从深化部门预算改革，加强预算绩效管理的实际需要出发，通过科学合理的方法，客观公正地评价财政资金使用的经济性、效率性和效益性，是强化部门预算支出责任、改善财政支出管理、优化资源配置以及提高公共服务水平的重要手段。</w:t>
      </w:r>
    </w:p>
    <w:p>
      <w:pPr>
        <w:spacing w:afterLines="100"/>
        <w:ind w:firstLine="560" w:firstLineChars="200"/>
        <w:jc w:val="both"/>
        <w:rPr>
          <w:rFonts w:hint="eastAsia" w:ascii="仿宋" w:hAnsi="仿宋" w:eastAsia="仿宋" w:cs="仿宋"/>
          <w:sz w:val="28"/>
          <w:szCs w:val="28"/>
          <w:lang w:val="en-US" w:eastAsia="zh-CN"/>
        </w:rPr>
      </w:pPr>
      <w:r>
        <w:rPr>
          <w:rFonts w:hint="eastAsia" w:ascii="仿宋" w:hAnsi="仿宋" w:eastAsia="仿宋" w:cs="仿宋"/>
          <w:sz w:val="28"/>
          <w:szCs w:val="28"/>
        </w:rPr>
        <w:t>为深入贯彻落实《预算法》文件精神，认真履行全面实施绩效管理的“十九大”精神，强化预算支出责任，提高财政资金使用效益，根据《江西省人民政府关于全面推进预算绩效管理的实施意见》（赣府发[2013]8号）、《南昌市人民政府关于印发&lt;南昌市财政支出绩效评价管理办法&gt;（试行）的通知》（洪府发[2014]8号）、《南昌市财政局关于开展201</w:t>
      </w:r>
      <w:r>
        <w:rPr>
          <w:rFonts w:hint="eastAsia" w:ascii="仿宋" w:hAnsi="仿宋" w:eastAsia="仿宋" w:cs="仿宋"/>
          <w:sz w:val="28"/>
          <w:szCs w:val="28"/>
          <w:lang w:val="en-US" w:eastAsia="zh-CN"/>
        </w:rPr>
        <w:t>9</w:t>
      </w:r>
      <w:r>
        <w:rPr>
          <w:rFonts w:hint="eastAsia" w:ascii="仿宋" w:hAnsi="仿宋" w:eastAsia="仿宋" w:cs="仿宋"/>
          <w:sz w:val="28"/>
          <w:szCs w:val="28"/>
        </w:rPr>
        <w:t>年度市级部门财政项目支出绩效评价工作的通知》（洪财办[20</w:t>
      </w:r>
      <w:r>
        <w:rPr>
          <w:rFonts w:hint="eastAsia" w:ascii="仿宋" w:hAnsi="仿宋" w:eastAsia="仿宋" w:cs="仿宋"/>
          <w:sz w:val="28"/>
          <w:szCs w:val="28"/>
          <w:lang w:val="en-US" w:eastAsia="zh-CN"/>
        </w:rPr>
        <w:t>20</w:t>
      </w:r>
      <w:r>
        <w:rPr>
          <w:rFonts w:hint="eastAsia" w:ascii="仿宋" w:hAnsi="仿宋" w:eastAsia="仿宋" w:cs="仿宋"/>
          <w:sz w:val="28"/>
          <w:szCs w:val="28"/>
        </w:rPr>
        <w:t>]</w:t>
      </w:r>
      <w:r>
        <w:rPr>
          <w:rFonts w:hint="eastAsia" w:ascii="仿宋" w:hAnsi="仿宋" w:eastAsia="仿宋" w:cs="仿宋"/>
          <w:sz w:val="28"/>
          <w:szCs w:val="28"/>
          <w:lang w:val="en-US" w:eastAsia="zh-CN"/>
        </w:rPr>
        <w:t>10</w:t>
      </w:r>
      <w:r>
        <w:rPr>
          <w:rFonts w:hint="eastAsia" w:ascii="仿宋" w:hAnsi="仿宋" w:eastAsia="仿宋" w:cs="仿宋"/>
          <w:sz w:val="28"/>
          <w:szCs w:val="28"/>
        </w:rPr>
        <w:t>号）等文件的要求，对201</w:t>
      </w:r>
      <w:r>
        <w:rPr>
          <w:rFonts w:hint="eastAsia" w:ascii="仿宋" w:hAnsi="仿宋" w:eastAsia="仿宋" w:cs="仿宋"/>
          <w:sz w:val="28"/>
          <w:szCs w:val="28"/>
          <w:lang w:val="en-US" w:eastAsia="zh-CN"/>
        </w:rPr>
        <w:t>9</w:t>
      </w:r>
      <w:r>
        <w:rPr>
          <w:rFonts w:hint="eastAsia" w:ascii="仿宋" w:hAnsi="仿宋" w:eastAsia="仿宋" w:cs="仿宋"/>
          <w:sz w:val="28"/>
          <w:szCs w:val="28"/>
        </w:rPr>
        <w:t>年度</w:t>
      </w:r>
      <w:r>
        <w:rPr>
          <w:rFonts w:hint="eastAsia" w:ascii="仿宋" w:hAnsi="仿宋" w:eastAsia="仿宋" w:cs="仿宋"/>
          <w:sz w:val="28"/>
          <w:szCs w:val="28"/>
          <w:lang w:val="en-US" w:eastAsia="zh-CN"/>
        </w:rPr>
        <w:t>南昌市本级不动产登记数据整合建库</w:t>
      </w:r>
      <w:r>
        <w:rPr>
          <w:rFonts w:hint="eastAsia" w:ascii="仿宋" w:hAnsi="仿宋" w:eastAsia="仿宋" w:cs="仿宋"/>
          <w:sz w:val="28"/>
          <w:szCs w:val="28"/>
          <w:lang w:eastAsia="zh-CN"/>
        </w:rPr>
        <w:t>项目</w:t>
      </w:r>
      <w:r>
        <w:rPr>
          <w:rFonts w:hint="eastAsia" w:ascii="仿宋" w:hAnsi="仿宋" w:eastAsia="仿宋" w:cs="仿宋"/>
          <w:sz w:val="28"/>
          <w:szCs w:val="28"/>
        </w:rPr>
        <w:t>开展绩效自评工作。</w:t>
      </w:r>
      <w:r>
        <w:rPr>
          <w:rFonts w:hint="eastAsia" w:ascii="仿宋" w:hAnsi="仿宋" w:eastAsia="仿宋" w:cs="仿宋"/>
          <w:sz w:val="28"/>
          <w:szCs w:val="28"/>
          <w:lang w:eastAsia="zh-CN"/>
        </w:rPr>
        <w:t>现将评价情况报告如下：</w:t>
      </w:r>
    </w:p>
    <w:p>
      <w:pPr>
        <w:numPr>
          <w:ilvl w:val="0"/>
          <w:numId w:val="1"/>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基本情况</w:t>
      </w:r>
    </w:p>
    <w:p>
      <w:pPr>
        <w:numPr>
          <w:ilvl w:val="0"/>
          <w:numId w:val="2"/>
        </w:numPr>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项目概</w:t>
      </w:r>
      <w:r>
        <w:rPr>
          <w:rFonts w:hint="eastAsia" w:ascii="楷体" w:hAnsi="楷体" w:eastAsia="楷体" w:cs="楷体"/>
          <w:b/>
          <w:bCs/>
          <w:sz w:val="32"/>
          <w:szCs w:val="32"/>
          <w:lang w:val="en-US" w:eastAsia="zh-CN"/>
        </w:rPr>
        <w:t>况</w:t>
      </w:r>
    </w:p>
    <w:p>
      <w:pPr>
        <w:numPr>
          <w:ilvl w:val="0"/>
          <w:numId w:val="3"/>
        </w:numPr>
        <w:spacing w:line="56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lang w:val="en-US" w:eastAsia="zh-CN"/>
        </w:rPr>
        <w:t>立项</w:t>
      </w:r>
      <w:r>
        <w:rPr>
          <w:rFonts w:hint="eastAsia" w:ascii="仿宋" w:hAnsi="仿宋" w:eastAsia="仿宋" w:cs="仿宋"/>
          <w:b/>
          <w:bCs/>
          <w:sz w:val="28"/>
          <w:szCs w:val="28"/>
        </w:rPr>
        <w:t>背景</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该项目是2016年新增项目。</w:t>
      </w:r>
      <w:r>
        <w:rPr>
          <w:rFonts w:hint="eastAsia" w:ascii="仿宋" w:hAnsi="仿宋" w:eastAsia="仿宋" w:cs="仿宋"/>
          <w:sz w:val="28"/>
          <w:szCs w:val="28"/>
        </w:rPr>
        <w:t>根据《不动产登记暂行条例》第三十三条的规定“国务院国土资源主管部门应当会同有关部门建立统一的不动产登记信息管理基础平台。各级不动产登记机构登记的信息应当纳入统一的不动产登记信息管理基础平台，确保国家、省、市、县四级登记信息的实时共享”。不动产登记信息管理基础平台（以下简称“管理平台”）的建设和运行，需要相应软件、网络和数据支撑。其中，数据支撑尤为重要，缺少了规范的支撑数据，管理平台就只能成为无源之水，无本之木。</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目前，南昌市已经按照国家、省级不动产统一登记实施要求先后完成了登记机构职能整合和管理平台建设工作，并于2016年1月1日起停止办理市级房屋登记、土地登记、林权登记，正式开始实施不动产统一登记并受理不动产登记相关业务。但与管理平台相匹配的不动产登记数据整合工作仍未正式启动，在一定程度上制约了不动产统一登记工作的开展及其工作效率。在此背景下，南昌市自然资源局决定启动市本级各类不动产登记信息整合建库工作，涉及数据整合范围共计约1062平方公里，包括东湖区、西湖区、青云谱区、红谷滩新区、高新区、经济技术开发区（含桑海）、临空经济区、湾里区。</w:t>
      </w:r>
    </w:p>
    <w:p>
      <w:pPr>
        <w:spacing w:line="560" w:lineRule="exact"/>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根据南昌市人民政府办公厅《关于印发南昌市不动产统一登记工作实施方案的通知》（洪府厅发</w:t>
      </w:r>
      <w:r>
        <w:rPr>
          <w:rFonts w:hint="eastAsia" w:ascii="仿宋" w:hAnsi="仿宋" w:eastAsia="仿宋" w:cs="仿宋"/>
          <w:sz w:val="28"/>
          <w:szCs w:val="28"/>
        </w:rPr>
        <w:t>〔</w:t>
      </w:r>
      <w:r>
        <w:rPr>
          <w:rFonts w:hint="eastAsia" w:ascii="仿宋" w:hAnsi="仿宋" w:eastAsia="仿宋" w:cs="仿宋"/>
          <w:sz w:val="28"/>
          <w:szCs w:val="28"/>
          <w:lang w:val="en-US" w:eastAsia="zh-CN"/>
        </w:rPr>
        <w:t>2015</w:t>
      </w:r>
      <w:r>
        <w:rPr>
          <w:rFonts w:hint="eastAsia" w:ascii="仿宋" w:hAnsi="仿宋" w:eastAsia="仿宋" w:cs="仿宋"/>
          <w:sz w:val="28"/>
          <w:szCs w:val="28"/>
        </w:rPr>
        <w:t>〕</w:t>
      </w:r>
      <w:r>
        <w:rPr>
          <w:rFonts w:hint="eastAsia" w:ascii="仿宋" w:hAnsi="仿宋" w:eastAsia="仿宋" w:cs="仿宋"/>
          <w:sz w:val="28"/>
          <w:szCs w:val="28"/>
          <w:lang w:val="en-US" w:eastAsia="zh-CN"/>
        </w:rPr>
        <w:t>56号），2016年2月我局向市政府和财政局提交了《关于恳请批准市本级不动产登记数据整合建库项目经费和采用单一来源方式采购的请示》（洪不动产文</w:t>
      </w:r>
      <w:r>
        <w:rPr>
          <w:rFonts w:hint="eastAsia" w:ascii="仿宋" w:hAnsi="仿宋" w:eastAsia="仿宋" w:cs="仿宋"/>
          <w:sz w:val="28"/>
          <w:szCs w:val="28"/>
        </w:rPr>
        <w:t>〔</w:t>
      </w:r>
      <w:r>
        <w:rPr>
          <w:rFonts w:hint="eastAsia" w:ascii="仿宋" w:hAnsi="仿宋" w:eastAsia="仿宋" w:cs="仿宋"/>
          <w:sz w:val="28"/>
          <w:szCs w:val="28"/>
          <w:lang w:val="en-US" w:eastAsia="zh-CN"/>
        </w:rPr>
        <w:t>2016</w:t>
      </w:r>
      <w:r>
        <w:rPr>
          <w:rFonts w:hint="eastAsia" w:ascii="仿宋" w:hAnsi="仿宋" w:eastAsia="仿宋" w:cs="仿宋"/>
          <w:sz w:val="28"/>
          <w:szCs w:val="28"/>
        </w:rPr>
        <w:t>〕</w:t>
      </w:r>
      <w:r>
        <w:rPr>
          <w:rFonts w:hint="eastAsia" w:ascii="仿宋" w:hAnsi="仿宋" w:eastAsia="仿宋" w:cs="仿宋"/>
          <w:sz w:val="28"/>
          <w:szCs w:val="28"/>
          <w:lang w:val="en-US" w:eastAsia="zh-CN"/>
        </w:rPr>
        <w:t>2号），2016年3月取得南昌市财政局便函（洪财建便字</w:t>
      </w:r>
      <w:r>
        <w:rPr>
          <w:rFonts w:hint="eastAsia" w:ascii="仿宋" w:hAnsi="仿宋" w:eastAsia="仿宋" w:cs="仿宋"/>
          <w:sz w:val="28"/>
          <w:szCs w:val="28"/>
        </w:rPr>
        <w:t>〔</w:t>
      </w:r>
      <w:r>
        <w:rPr>
          <w:rFonts w:hint="eastAsia" w:ascii="仿宋" w:hAnsi="仿宋" w:eastAsia="仿宋" w:cs="仿宋"/>
          <w:sz w:val="28"/>
          <w:szCs w:val="28"/>
          <w:lang w:val="en-US" w:eastAsia="zh-CN"/>
        </w:rPr>
        <w:t>2016</w:t>
      </w:r>
      <w:r>
        <w:rPr>
          <w:rFonts w:hint="eastAsia" w:ascii="仿宋" w:hAnsi="仿宋" w:eastAsia="仿宋" w:cs="仿宋"/>
          <w:sz w:val="28"/>
          <w:szCs w:val="28"/>
        </w:rPr>
        <w:t>〕</w:t>
      </w:r>
      <w:r>
        <w:rPr>
          <w:rFonts w:hint="eastAsia" w:ascii="仿宋" w:hAnsi="仿宋" w:eastAsia="仿宋" w:cs="仿宋"/>
          <w:sz w:val="28"/>
          <w:szCs w:val="28"/>
          <w:lang w:val="en-US" w:eastAsia="zh-CN"/>
        </w:rPr>
        <w:t>18号），2016年5月取得《关于南昌市本级不动产登记数据整合建库项目建议书的批复》（洪发改区字</w:t>
      </w:r>
      <w:r>
        <w:rPr>
          <w:rFonts w:hint="eastAsia" w:ascii="仿宋" w:hAnsi="仿宋" w:eastAsia="仿宋" w:cs="仿宋"/>
          <w:sz w:val="28"/>
          <w:szCs w:val="28"/>
        </w:rPr>
        <w:t>〔</w:t>
      </w:r>
      <w:r>
        <w:rPr>
          <w:rFonts w:hint="eastAsia" w:ascii="仿宋" w:hAnsi="仿宋" w:eastAsia="仿宋" w:cs="仿宋"/>
          <w:sz w:val="28"/>
          <w:szCs w:val="28"/>
          <w:lang w:val="en-US" w:eastAsia="zh-CN"/>
        </w:rPr>
        <w:t>2016</w:t>
      </w:r>
      <w:r>
        <w:rPr>
          <w:rFonts w:hint="eastAsia" w:ascii="仿宋" w:hAnsi="仿宋" w:eastAsia="仿宋" w:cs="仿宋"/>
          <w:sz w:val="28"/>
          <w:szCs w:val="28"/>
        </w:rPr>
        <w:t>〕</w:t>
      </w:r>
      <w:r>
        <w:rPr>
          <w:rFonts w:hint="eastAsia" w:ascii="仿宋" w:hAnsi="仿宋" w:eastAsia="仿宋" w:cs="仿宋"/>
          <w:sz w:val="28"/>
          <w:szCs w:val="28"/>
          <w:lang w:val="en-US" w:eastAsia="zh-CN"/>
        </w:rPr>
        <w:t>4号），2016年6月取得南昌市政府抄告单（洪府厅抄字</w:t>
      </w:r>
      <w:r>
        <w:rPr>
          <w:rFonts w:hint="eastAsia" w:ascii="仿宋" w:hAnsi="仿宋" w:eastAsia="仿宋" w:cs="仿宋"/>
          <w:sz w:val="28"/>
          <w:szCs w:val="28"/>
        </w:rPr>
        <w:t>〔</w:t>
      </w:r>
      <w:r>
        <w:rPr>
          <w:rFonts w:hint="eastAsia" w:ascii="仿宋" w:hAnsi="仿宋" w:eastAsia="仿宋" w:cs="仿宋"/>
          <w:sz w:val="28"/>
          <w:szCs w:val="28"/>
          <w:lang w:val="en-US" w:eastAsia="zh-CN"/>
        </w:rPr>
        <w:t>2016</w:t>
      </w:r>
      <w:r>
        <w:rPr>
          <w:rFonts w:hint="eastAsia" w:ascii="仿宋" w:hAnsi="仿宋" w:eastAsia="仿宋" w:cs="仿宋"/>
          <w:sz w:val="28"/>
          <w:szCs w:val="28"/>
        </w:rPr>
        <w:t>〕</w:t>
      </w:r>
      <w:r>
        <w:rPr>
          <w:rFonts w:hint="eastAsia" w:ascii="仿宋" w:hAnsi="仿宋" w:eastAsia="仿宋" w:cs="仿宋"/>
          <w:sz w:val="28"/>
          <w:szCs w:val="28"/>
          <w:lang w:val="en-US" w:eastAsia="zh-CN"/>
        </w:rPr>
        <w:t>326号），确定本项目投资估算为8190万元，建设工期3年。</w:t>
      </w:r>
    </w:p>
    <w:p>
      <w:pPr>
        <w:spacing w:line="560" w:lineRule="exact"/>
        <w:ind w:firstLine="560" w:firstLineChars="200"/>
        <w:rPr>
          <w:rFonts w:hint="eastAsia" w:ascii="仿宋" w:hAnsi="仿宋" w:eastAsia="仿宋" w:cs="仿宋"/>
          <w:sz w:val="28"/>
          <w:szCs w:val="28"/>
        </w:rPr>
      </w:pPr>
    </w:p>
    <w:p>
      <w:pPr>
        <w:numPr>
          <w:ilvl w:val="0"/>
          <w:numId w:val="3"/>
        </w:numPr>
        <w:spacing w:line="56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lang w:val="en-US" w:eastAsia="zh-CN"/>
        </w:rPr>
        <w:t>项目</w:t>
      </w:r>
      <w:r>
        <w:rPr>
          <w:rFonts w:hint="eastAsia" w:ascii="仿宋" w:hAnsi="仿宋" w:eastAsia="仿宋" w:cs="仿宋"/>
          <w:b/>
          <w:bCs/>
          <w:sz w:val="28"/>
          <w:szCs w:val="28"/>
        </w:rPr>
        <w:t>内容</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2018年10月19日，南昌市本级不动产登记数据整合建库项目已通过省级验收工作。验收之后数据支撑单位需继续执行3年的不动产登记数据质量保障工作。质保期主要工作有：</w:t>
      </w:r>
    </w:p>
    <w:p>
      <w:pPr>
        <w:numPr>
          <w:ilvl w:val="0"/>
          <w:numId w:val="4"/>
        </w:num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对2016年1月1日后南昌市依法开展的不动产统一登记业务提供技术支撑与数据服务，及时、高效地完成依法申请登记的房地信息数据整合和属性入库工作,形成房地合一的完整登记信息及档案信息，支持全市日常不动产登记业务的顺利开展。</w:t>
      </w:r>
    </w:p>
    <w:p>
      <w:pPr>
        <w:numPr>
          <w:ilvl w:val="0"/>
          <w:numId w:val="4"/>
        </w:num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依据档案材料记载情况、证书记载情况及相关文件精神，分析和处理局领导、各机关处室以及不动产登记中心反馈的存量不动产登记数据问题。</w:t>
      </w:r>
    </w:p>
    <w:p>
      <w:pPr>
        <w:numPr>
          <w:ilvl w:val="0"/>
          <w:numId w:val="4"/>
        </w:num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根据日常反馈的问题数据，通过举一反三的处理模式，认真分析问题产生的原因及问题数据的共同点，仔细思考问题数据的解决方案，并批量提取同类型问题数据进行维护和处理。</w:t>
      </w:r>
    </w:p>
    <w:p>
      <w:pPr>
        <w:numPr>
          <w:ilvl w:val="0"/>
          <w:numId w:val="4"/>
        </w:num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为提高征收类限制信息批量登记的办件效率，根据不动产登记中心的工作安排，协助处理不动产征收类限制信息批量补录及解除工作。</w:t>
      </w:r>
    </w:p>
    <w:p>
      <w:pPr>
        <w:numPr>
          <w:ilvl w:val="0"/>
          <w:numId w:val="4"/>
        </w:num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对已整合的南昌市本级不动产登记数据库，依据局机关处室及不动产登记中心，完成其它方面的技术支撑与数据保障服务。</w:t>
      </w:r>
    </w:p>
    <w:p>
      <w:pPr>
        <w:numPr>
          <w:ilvl w:val="0"/>
          <w:numId w:val="3"/>
        </w:numPr>
        <w:spacing w:line="56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实施情况</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自2018年10月20日起，南昌市本级不动产登记数据运维工作已正式启动；截至到2019年12月31日为止，已完成14个月的技术支撑和数据保障服务。在此期间，主要完成的工作有：</w:t>
      </w:r>
    </w:p>
    <w:p>
      <w:pPr>
        <w:numPr>
          <w:ilvl w:val="0"/>
          <w:numId w:val="5"/>
        </w:num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协助不动产登记中心，共完成60777件不动产统一登记业务数据的落地落宗工作。</w:t>
      </w:r>
    </w:p>
    <w:p>
      <w:pPr>
        <w:numPr>
          <w:ilvl w:val="0"/>
          <w:numId w:val="5"/>
        </w:num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在不动产登记数据运维过程中，发现并整理380件疑难问题数据审批材料，并上报不动产登记科室审批。</w:t>
      </w:r>
    </w:p>
    <w:p>
      <w:pPr>
        <w:numPr>
          <w:ilvl w:val="0"/>
          <w:numId w:val="5"/>
        </w:num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协助不动产登记中心，共补录限制信息3867条，解除限制信息3142条。</w:t>
      </w:r>
    </w:p>
    <w:p>
      <w:pPr>
        <w:numPr>
          <w:ilvl w:val="0"/>
          <w:numId w:val="5"/>
        </w:num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依据手工档抵押档案材料，已完成手工档抵押信息电子化工作，整理出3310条有效抵押数据，并按照现市本级不动产数据库结构，导入市本级不动产登记数据库中。</w:t>
      </w:r>
    </w:p>
    <w:p>
      <w:pPr>
        <w:numPr>
          <w:ilvl w:val="0"/>
          <w:numId w:val="5"/>
        </w:num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通过提取和分析不动产登记数据库中坐落相同和坐落一致的数据共计95409条，排查出问题数据24017条，并已建立好24017条上下手关联关系数据，导入市本级数据库中，同步将24017条关联关系数据中的上一手登记信息的权属状态更正为历史。</w:t>
      </w:r>
    </w:p>
    <w:p>
      <w:pPr>
        <w:numPr>
          <w:ilvl w:val="0"/>
          <w:numId w:val="5"/>
        </w:num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从304995条现势状态的个人土地使用权证信息中，整理并分析出96322条状态有误数据，并在不动产登记数据库中将这些有误数据状态更正为历史。</w:t>
      </w:r>
    </w:p>
    <w:p>
      <w:pPr>
        <w:numPr>
          <w:ilvl w:val="0"/>
          <w:numId w:val="5"/>
        </w:num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原存量房产登记信息由于未记载相关的土地信息，导致办理不动产登记业务时，登记簿上一手缺失土地相关信息；经数据整合和维护，共整理出274609条存量房产登记信息的土地相关信息，并导入市本级不动产登记数据库中。</w:t>
      </w:r>
    </w:p>
    <w:p>
      <w:pPr>
        <w:numPr>
          <w:ilvl w:val="0"/>
          <w:numId w:val="5"/>
        </w:num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为进一步提高存量不动产登记数据的落地率，已分析出2403户可落地数据，经内业整理及数据检查，已完成2056户数据的落地落宗工作，剩余347户问题数据未处理。</w:t>
      </w:r>
    </w:p>
    <w:p>
      <w:pPr>
        <w:numPr>
          <w:ilvl w:val="0"/>
          <w:numId w:val="5"/>
        </w:num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已完成约6500条不动产存量登记数据的勘误工作。</w:t>
      </w:r>
    </w:p>
    <w:p>
      <w:pPr>
        <w:numPr>
          <w:ilvl w:val="0"/>
          <w:numId w:val="5"/>
        </w:num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协助整理市本级不动产登记数据汇交库，并完成汇交工作。</w:t>
      </w:r>
    </w:p>
    <w:p>
      <w:pPr>
        <w:numPr>
          <w:ilvl w:val="0"/>
          <w:numId w:val="5"/>
        </w:num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协助整理市本级不动产空间数据，并完成市本级不动产空间数据国家2000坐标系的转换工作。</w:t>
      </w:r>
    </w:p>
    <w:p>
      <w:pPr>
        <w:numPr>
          <w:ilvl w:val="0"/>
          <w:numId w:val="5"/>
        </w:num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协助局处室整理和对比三权数据库，并形成情况报告。</w:t>
      </w:r>
    </w:p>
    <w:p>
      <w:pPr>
        <w:numPr>
          <w:ilvl w:val="0"/>
          <w:numId w:val="5"/>
        </w:num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为确保不动产登记数据库中登记信息权属状态的准确性，通过分析和提取市本级不动产数据库中第一手权利人为个人的数据共计107910条，并初步整理出12709条状态有误数据，并在作业成果中建立了上下手关联关系，待局处室检查后再处理。</w:t>
      </w:r>
    </w:p>
    <w:p>
      <w:pPr>
        <w:numPr>
          <w:ilvl w:val="0"/>
          <w:numId w:val="5"/>
        </w:num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为完善不动产登记数据库中权利人证件号码，通过分析提取原附件材料中包含证件种类的数据有5069条，共分析出4846条数据有证件号码，待局处室检查后再处理。</w:t>
      </w:r>
    </w:p>
    <w:p>
      <w:pPr>
        <w:numPr>
          <w:ilvl w:val="0"/>
          <w:numId w:val="3"/>
        </w:numPr>
        <w:spacing w:line="56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资金投入和使用情况</w:t>
      </w:r>
    </w:p>
    <w:p>
      <w:pPr>
        <w:pStyle w:val="21"/>
        <w:ind w:firstLine="600"/>
        <w:rPr>
          <w:rFonts w:hint="eastAsia" w:ascii="仿宋" w:hAnsi="仿宋" w:eastAsia="仿宋" w:cs="仿宋"/>
          <w:b/>
          <w:bCs/>
          <w:sz w:val="28"/>
          <w:szCs w:val="28"/>
        </w:rPr>
      </w:pPr>
      <w:r>
        <w:rPr>
          <w:rFonts w:hint="eastAsia" w:ascii="仿宋" w:hAnsi="仿宋" w:eastAsia="仿宋" w:cs="仿宋"/>
          <w:sz w:val="28"/>
          <w:szCs w:val="28"/>
          <w:lang w:val="en-US" w:eastAsia="zh-CN"/>
        </w:rPr>
        <w:t>2019年度本</w:t>
      </w:r>
      <w:r>
        <w:rPr>
          <w:rFonts w:hint="eastAsia" w:ascii="仿宋" w:hAnsi="仿宋" w:eastAsia="仿宋" w:cs="仿宋"/>
          <w:sz w:val="28"/>
          <w:szCs w:val="28"/>
        </w:rPr>
        <w:t>项目预算资金716.973万元，实际安排资金716.973万元，实际到位资金716.973万元，实际使用资金716.973万元，已</w:t>
      </w:r>
      <w:r>
        <w:rPr>
          <w:rFonts w:hint="eastAsia" w:ascii="仿宋" w:hAnsi="仿宋" w:eastAsia="仿宋" w:cs="仿宋"/>
          <w:sz w:val="28"/>
          <w:szCs w:val="28"/>
          <w:lang w:val="en-US" w:eastAsia="zh-CN"/>
        </w:rPr>
        <w:t>完成支付</w:t>
      </w:r>
      <w:r>
        <w:rPr>
          <w:rFonts w:hint="eastAsia" w:ascii="仿宋" w:hAnsi="仿宋" w:eastAsia="仿宋" w:cs="仿宋"/>
          <w:sz w:val="28"/>
          <w:szCs w:val="28"/>
        </w:rPr>
        <w:t>。</w:t>
      </w:r>
    </w:p>
    <w:p>
      <w:pPr>
        <w:numPr>
          <w:ilvl w:val="0"/>
          <w:numId w:val="2"/>
        </w:numPr>
        <w:spacing w:line="56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项目绩效目标</w:t>
      </w:r>
    </w:p>
    <w:p>
      <w:pPr>
        <w:numPr>
          <w:ilvl w:val="0"/>
          <w:numId w:val="6"/>
        </w:numPr>
        <w:spacing w:line="56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总体目标</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完成3年（2018年10月20日至2021年10月19日）的南昌市本级不动产登记数据库质保工作，为2016年1月1日后南昌市依法开展的不动产统一登记业务提供技术支撑与数据服务，并批量解决原存量登记数据问题。</w:t>
      </w:r>
    </w:p>
    <w:p>
      <w:pPr>
        <w:numPr>
          <w:ilvl w:val="0"/>
          <w:numId w:val="6"/>
        </w:numPr>
        <w:spacing w:line="56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阶段性目标</w:t>
      </w:r>
    </w:p>
    <w:p>
      <w:pPr>
        <w:numPr>
          <w:ilvl w:val="0"/>
          <w:numId w:val="7"/>
        </w:num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每日完成不动产登记业务数据的落宗落宗工作。</w:t>
      </w:r>
    </w:p>
    <w:p>
      <w:pPr>
        <w:numPr>
          <w:ilvl w:val="0"/>
          <w:numId w:val="7"/>
        </w:num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2020年完成土地档案规范化整理工作。</w:t>
      </w:r>
    </w:p>
    <w:p>
      <w:pPr>
        <w:numPr>
          <w:ilvl w:val="0"/>
          <w:numId w:val="7"/>
        </w:num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2020年4月份完成证件号码缺失整理及入库工作。</w:t>
      </w:r>
    </w:p>
    <w:p>
      <w:pPr>
        <w:numPr>
          <w:ilvl w:val="0"/>
          <w:numId w:val="7"/>
        </w:num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2020年5月份完成第一手权利人为个人数据的排查及入库工作。</w:t>
      </w:r>
    </w:p>
    <w:p>
      <w:pPr>
        <w:numPr>
          <w:ilvl w:val="0"/>
          <w:numId w:val="7"/>
        </w:num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按类型整理新反馈的问题数据，并在2021年10月19日之前，完成已发现的并可批量处理的原存量登记数据问题。</w:t>
      </w:r>
    </w:p>
    <w:bookmarkEnd w:id="0"/>
    <w:p>
      <w:pPr>
        <w:numPr>
          <w:ilvl w:val="0"/>
          <w:numId w:val="8"/>
        </w:numPr>
        <w:spacing w:line="560" w:lineRule="exact"/>
        <w:ind w:firstLine="562" w:firstLineChars="200"/>
        <w:rPr>
          <w:rFonts w:hint="eastAsia" w:ascii="仿宋" w:hAnsi="仿宋" w:eastAsia="仿宋" w:cs="仿宋"/>
          <w:b/>
          <w:bCs/>
          <w:sz w:val="28"/>
          <w:szCs w:val="28"/>
        </w:rPr>
      </w:pPr>
      <w:bookmarkStart w:id="2" w:name="_Toc12333"/>
      <w:r>
        <w:rPr>
          <w:rFonts w:hint="eastAsia" w:ascii="仿宋" w:hAnsi="仿宋" w:eastAsia="仿宋" w:cs="仿宋"/>
          <w:b/>
          <w:bCs/>
          <w:sz w:val="28"/>
          <w:szCs w:val="28"/>
        </w:rPr>
        <w:t>绩效评价工作开展情况</w:t>
      </w:r>
      <w:bookmarkEnd w:id="2"/>
      <w:bookmarkStart w:id="3" w:name="_Toc480534744"/>
      <w:bookmarkStart w:id="4" w:name="_Toc480537535"/>
      <w:bookmarkStart w:id="5" w:name="_Toc480537469"/>
      <w:bookmarkStart w:id="6" w:name="_Toc480533785"/>
      <w:bookmarkStart w:id="7" w:name="_Toc6241114"/>
      <w:bookmarkStart w:id="8" w:name="_Toc5980460"/>
      <w:bookmarkStart w:id="9" w:name="_Toc480536985"/>
      <w:bookmarkStart w:id="10" w:name="_Toc23949"/>
      <w:bookmarkStart w:id="11" w:name="_Toc480533248"/>
      <w:bookmarkStart w:id="12" w:name="_Toc6146775"/>
    </w:p>
    <w:p>
      <w:pPr>
        <w:spacing w:line="560" w:lineRule="exact"/>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rPr>
        <w:t>（一）绩效评价目的</w:t>
      </w:r>
      <w:bookmarkEnd w:id="3"/>
      <w:bookmarkEnd w:id="4"/>
      <w:bookmarkEnd w:id="5"/>
      <w:bookmarkEnd w:id="6"/>
      <w:bookmarkEnd w:id="7"/>
      <w:bookmarkEnd w:id="8"/>
      <w:bookmarkEnd w:id="9"/>
      <w:bookmarkEnd w:id="10"/>
      <w:bookmarkEnd w:id="11"/>
      <w:bookmarkEnd w:id="12"/>
      <w:r>
        <w:rPr>
          <w:rFonts w:hint="eastAsia" w:ascii="仿宋" w:hAnsi="仿宋" w:eastAsia="仿宋" w:cs="仿宋"/>
          <w:b/>
          <w:bCs/>
          <w:sz w:val="28"/>
          <w:szCs w:val="28"/>
          <w:lang w:eastAsia="zh-CN"/>
        </w:rPr>
        <w:t>、对象和范围</w:t>
      </w:r>
    </w:p>
    <w:p>
      <w:pPr>
        <w:pStyle w:val="21"/>
        <w:ind w:firstLine="600"/>
        <w:rPr>
          <w:rFonts w:hint="eastAsia" w:ascii="仿宋" w:hAnsi="仿宋" w:eastAsia="仿宋" w:cs="仿宋"/>
          <w:sz w:val="28"/>
          <w:szCs w:val="28"/>
        </w:rPr>
      </w:pPr>
      <w:r>
        <w:rPr>
          <w:rFonts w:hint="eastAsia" w:ascii="仿宋" w:hAnsi="仿宋" w:eastAsia="仿宋" w:cs="仿宋"/>
          <w:sz w:val="28"/>
          <w:szCs w:val="28"/>
        </w:rPr>
        <w:t>财政支出绩效评价是财政管理体制改革的主要课题，也是建设高效廉洁政府的关键措施。通过评价，强化支出责任，优化资源配置效率，提高财政资金使用效益。</w:t>
      </w:r>
    </w:p>
    <w:p>
      <w:pPr>
        <w:spacing w:line="560" w:lineRule="exact"/>
        <w:ind w:firstLine="562" w:firstLineChars="200"/>
        <w:rPr>
          <w:rFonts w:hint="eastAsia" w:ascii="仿宋" w:hAnsi="仿宋" w:eastAsia="仿宋" w:cs="仿宋"/>
          <w:b/>
          <w:bCs/>
          <w:sz w:val="28"/>
          <w:szCs w:val="28"/>
          <w:lang w:eastAsia="zh-CN"/>
        </w:rPr>
      </w:pPr>
      <w:bookmarkStart w:id="13" w:name="_Toc480537538"/>
      <w:bookmarkStart w:id="14" w:name="_Toc480533251"/>
      <w:bookmarkStart w:id="15" w:name="_Toc480534747"/>
      <w:bookmarkStart w:id="16" w:name="_Toc480536988"/>
      <w:bookmarkStart w:id="17" w:name="_Toc5980461"/>
      <w:bookmarkStart w:id="18" w:name="_Toc480537472"/>
      <w:bookmarkStart w:id="19" w:name="_Toc6146776"/>
      <w:bookmarkStart w:id="20" w:name="_Toc480533788"/>
      <w:bookmarkStart w:id="21" w:name="_Toc6241115"/>
      <w:bookmarkStart w:id="22" w:name="_Toc7712"/>
      <w:r>
        <w:rPr>
          <w:rFonts w:hint="eastAsia" w:ascii="仿宋" w:hAnsi="仿宋" w:eastAsia="仿宋" w:cs="仿宋"/>
          <w:b/>
          <w:bCs/>
          <w:sz w:val="28"/>
          <w:szCs w:val="28"/>
        </w:rPr>
        <w:t>（二）绩效评价原则</w:t>
      </w:r>
      <w:bookmarkEnd w:id="13"/>
      <w:bookmarkEnd w:id="14"/>
      <w:bookmarkEnd w:id="15"/>
      <w:bookmarkEnd w:id="16"/>
      <w:bookmarkEnd w:id="17"/>
      <w:bookmarkEnd w:id="18"/>
      <w:bookmarkEnd w:id="19"/>
      <w:bookmarkEnd w:id="20"/>
      <w:bookmarkEnd w:id="21"/>
      <w:bookmarkEnd w:id="22"/>
      <w:r>
        <w:rPr>
          <w:rFonts w:hint="eastAsia" w:ascii="仿宋" w:hAnsi="仿宋" w:eastAsia="仿宋" w:cs="仿宋"/>
          <w:b/>
          <w:bCs/>
          <w:sz w:val="28"/>
          <w:szCs w:val="28"/>
          <w:lang w:eastAsia="zh-CN"/>
        </w:rPr>
        <w:t>、评价指标体系（附表说明）、评价方法、评价标准等。</w:t>
      </w:r>
    </w:p>
    <w:p>
      <w:pPr>
        <w:pStyle w:val="21"/>
        <w:ind w:firstLine="600"/>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本项目绩效评价遵循以下原则：</w:t>
      </w:r>
    </w:p>
    <w:p>
      <w:pPr>
        <w:pStyle w:val="21"/>
        <w:ind w:firstLine="600"/>
        <w:rPr>
          <w:rFonts w:hint="eastAsia" w:ascii="仿宋" w:hAnsi="仿宋" w:eastAsia="仿宋" w:cs="仿宋"/>
          <w:sz w:val="28"/>
          <w:szCs w:val="28"/>
        </w:rPr>
      </w:pPr>
      <w:r>
        <w:rPr>
          <w:rFonts w:hint="eastAsia" w:ascii="仿宋" w:hAnsi="仿宋" w:eastAsia="仿宋" w:cs="仿宋"/>
          <w:sz w:val="28"/>
          <w:szCs w:val="28"/>
        </w:rPr>
        <w:t>（1）科学规范原则；</w:t>
      </w:r>
    </w:p>
    <w:p>
      <w:pPr>
        <w:pStyle w:val="21"/>
        <w:ind w:firstLine="600"/>
        <w:rPr>
          <w:rFonts w:hint="eastAsia" w:ascii="仿宋" w:hAnsi="仿宋" w:eastAsia="仿宋" w:cs="仿宋"/>
          <w:sz w:val="28"/>
          <w:szCs w:val="28"/>
        </w:rPr>
      </w:pPr>
      <w:r>
        <w:rPr>
          <w:rFonts w:hint="eastAsia" w:ascii="仿宋" w:hAnsi="仿宋" w:eastAsia="仿宋" w:cs="仿宋"/>
          <w:sz w:val="28"/>
          <w:szCs w:val="28"/>
        </w:rPr>
        <w:t>（2）公正公开原则；</w:t>
      </w:r>
    </w:p>
    <w:p>
      <w:pPr>
        <w:pStyle w:val="21"/>
        <w:ind w:firstLine="600"/>
        <w:rPr>
          <w:rFonts w:hint="eastAsia" w:ascii="仿宋" w:hAnsi="仿宋" w:eastAsia="仿宋" w:cs="仿宋"/>
          <w:sz w:val="28"/>
          <w:szCs w:val="28"/>
        </w:rPr>
      </w:pPr>
      <w:r>
        <w:rPr>
          <w:rFonts w:hint="eastAsia" w:ascii="仿宋" w:hAnsi="仿宋" w:eastAsia="仿宋" w:cs="仿宋"/>
          <w:sz w:val="28"/>
          <w:szCs w:val="28"/>
        </w:rPr>
        <w:t>（3）分级分类原则；</w:t>
      </w:r>
    </w:p>
    <w:p>
      <w:pPr>
        <w:pStyle w:val="21"/>
        <w:ind w:firstLine="600"/>
        <w:rPr>
          <w:rFonts w:hint="eastAsia" w:ascii="仿宋" w:hAnsi="仿宋" w:eastAsia="仿宋" w:cs="仿宋"/>
          <w:sz w:val="28"/>
          <w:szCs w:val="28"/>
        </w:rPr>
      </w:pPr>
      <w:r>
        <w:rPr>
          <w:rFonts w:hint="eastAsia" w:ascii="仿宋" w:hAnsi="仿宋" w:eastAsia="仿宋" w:cs="仿宋"/>
          <w:sz w:val="28"/>
          <w:szCs w:val="28"/>
        </w:rPr>
        <w:t>（4）绩效相关原则。</w:t>
      </w:r>
    </w:p>
    <w:p>
      <w:pPr>
        <w:pStyle w:val="21"/>
        <w:ind w:firstLine="600"/>
        <w:rPr>
          <w:rFonts w:hint="eastAsia" w:ascii="仿宋" w:hAnsi="仿宋" w:eastAsia="仿宋" w:cs="仿宋"/>
          <w:sz w:val="28"/>
          <w:szCs w:val="28"/>
        </w:rPr>
      </w:pPr>
      <w:bookmarkStart w:id="23" w:name="_Toc5980463"/>
      <w:r>
        <w:rPr>
          <w:rFonts w:hint="eastAsia" w:ascii="仿宋" w:hAnsi="仿宋" w:eastAsia="仿宋" w:cs="仿宋"/>
          <w:sz w:val="28"/>
          <w:szCs w:val="28"/>
          <w:lang w:val="en-US" w:eastAsia="zh-CN"/>
        </w:rPr>
        <w:t>2、</w:t>
      </w:r>
      <w:r>
        <w:rPr>
          <w:rFonts w:hint="eastAsia" w:ascii="仿宋" w:hAnsi="仿宋" w:eastAsia="仿宋" w:cs="仿宋"/>
          <w:sz w:val="28"/>
          <w:szCs w:val="28"/>
        </w:rPr>
        <w:t>指标体系包括评价指标表和基础表两部分，评价指标表是评价的依据，基础表是支持评价的基础数据。评价指标体系分别从项目决策、项目管理、项目绩效三个方面对其财政支出进行评价。</w:t>
      </w:r>
    </w:p>
    <w:bookmarkEnd w:id="23"/>
    <w:p>
      <w:pPr>
        <w:pStyle w:val="21"/>
        <w:ind w:firstLine="600"/>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本次绩效评价主要采用了：比较法、因素分析法、专家评判法。</w:t>
      </w:r>
    </w:p>
    <w:p>
      <w:pPr>
        <w:spacing w:line="56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（五）绩效评价工作过程</w:t>
      </w:r>
    </w:p>
    <w:p>
      <w:pPr>
        <w:pStyle w:val="21"/>
        <w:ind w:firstLine="600"/>
        <w:rPr>
          <w:rFonts w:hint="eastAsia" w:ascii="仿宋" w:hAnsi="仿宋" w:eastAsia="仿宋" w:cs="仿宋"/>
          <w:sz w:val="28"/>
          <w:szCs w:val="28"/>
        </w:rPr>
      </w:pPr>
      <w:r>
        <w:rPr>
          <w:rFonts w:hint="eastAsia" w:ascii="仿宋" w:hAnsi="仿宋" w:eastAsia="仿宋" w:cs="仿宋"/>
          <w:sz w:val="28"/>
          <w:szCs w:val="28"/>
        </w:rPr>
        <w:t>财政预算项目绩效评价是政府加强绩效管理，提高专项资金管理水平和使用效益的重要举措。</w:t>
      </w:r>
      <w:bookmarkStart w:id="24" w:name="_Toc30882"/>
    </w:p>
    <w:p>
      <w:pPr>
        <w:numPr>
          <w:ilvl w:val="0"/>
          <w:numId w:val="9"/>
        </w:numPr>
        <w:ind w:firstLine="0" w:firstLineChars="0"/>
        <w:rPr>
          <w:rFonts w:hint="eastAsia" w:ascii="仿宋" w:hAnsi="仿宋" w:eastAsia="仿宋" w:cs="仿宋"/>
          <w:b/>
          <w:bCs/>
          <w:sz w:val="28"/>
          <w:szCs w:val="28"/>
        </w:rPr>
      </w:pPr>
      <w:r>
        <w:rPr>
          <w:rFonts w:hint="eastAsia" w:ascii="仿宋" w:hAnsi="仿宋" w:eastAsia="仿宋" w:cs="仿宋"/>
          <w:b/>
          <w:bCs/>
          <w:sz w:val="28"/>
          <w:szCs w:val="28"/>
        </w:rPr>
        <w:t>绩效评价工作过程</w:t>
      </w:r>
    </w:p>
    <w:p>
      <w:pPr>
        <w:ind w:firstLine="560" w:firstLineChars="200"/>
        <w:rPr>
          <w:rFonts w:hint="eastAsia" w:ascii="仿宋" w:hAnsi="仿宋" w:eastAsia="仿宋" w:cs="仿宋"/>
          <w:b/>
          <w:bCs/>
          <w:sz w:val="28"/>
          <w:szCs w:val="28"/>
          <w:lang w:val="en-US" w:eastAsia="zh-CN"/>
        </w:rPr>
      </w:pPr>
      <w:r>
        <w:rPr>
          <w:rFonts w:hint="eastAsia" w:ascii="仿宋" w:hAnsi="仿宋" w:eastAsia="仿宋" w:cs="仿宋"/>
          <w:sz w:val="28"/>
          <w:szCs w:val="28"/>
        </w:rPr>
        <w:t>根据《南昌市财政局关于开展2019年度市级部门财政项目支出绩效评价工作的通知》的要求，</w:t>
      </w:r>
      <w:r>
        <w:rPr>
          <w:rFonts w:hint="eastAsia" w:ascii="仿宋" w:hAnsi="仿宋" w:eastAsia="仿宋" w:cs="仿宋"/>
          <w:sz w:val="28"/>
          <w:szCs w:val="28"/>
          <w:lang w:eastAsia="zh-CN"/>
        </w:rPr>
        <w:t>局机关召集各相关项目负责人于</w:t>
      </w:r>
      <w:r>
        <w:rPr>
          <w:rFonts w:hint="eastAsia" w:ascii="仿宋" w:hAnsi="仿宋" w:eastAsia="仿宋" w:cs="仿宋"/>
          <w:sz w:val="28"/>
          <w:szCs w:val="28"/>
          <w:lang w:val="en-US" w:eastAsia="zh-CN"/>
        </w:rPr>
        <w:t>2020年3月23日开展2019年项目支出绩效评价工作会议，会议中详细探讨该项工作的开展情况，并对金额较大的项目重点分析，要求各项目负责人</w:t>
      </w:r>
      <w:r>
        <w:rPr>
          <w:rFonts w:hint="eastAsia" w:ascii="仿宋" w:hAnsi="仿宋" w:eastAsia="仿宋" w:cs="仿宋"/>
          <w:sz w:val="28"/>
          <w:szCs w:val="28"/>
        </w:rPr>
        <w:t>积极开展项目绩效</w:t>
      </w:r>
      <w:r>
        <w:rPr>
          <w:rFonts w:hint="eastAsia" w:ascii="仿宋" w:hAnsi="仿宋" w:eastAsia="仿宋" w:cs="仿宋"/>
          <w:sz w:val="28"/>
          <w:szCs w:val="28"/>
          <w:lang w:eastAsia="zh-CN"/>
        </w:rPr>
        <w:t>自评</w:t>
      </w:r>
      <w:r>
        <w:rPr>
          <w:rFonts w:hint="eastAsia" w:ascii="仿宋" w:hAnsi="仿宋" w:eastAsia="仿宋" w:cs="仿宋"/>
          <w:sz w:val="28"/>
          <w:szCs w:val="28"/>
        </w:rPr>
        <w:t>工作</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5月15日，</w:t>
      </w:r>
      <w:r>
        <w:rPr>
          <w:rFonts w:hint="eastAsia" w:ascii="仿宋" w:hAnsi="仿宋" w:eastAsia="仿宋" w:cs="仿宋"/>
          <w:sz w:val="28"/>
          <w:szCs w:val="28"/>
        </w:rPr>
        <w:t>项目绩效评价小组</w:t>
      </w:r>
      <w:r>
        <w:rPr>
          <w:rFonts w:hint="eastAsia" w:ascii="仿宋" w:hAnsi="仿宋" w:eastAsia="仿宋" w:cs="仿宋"/>
          <w:sz w:val="28"/>
          <w:szCs w:val="28"/>
          <w:lang w:eastAsia="zh-CN"/>
        </w:rPr>
        <w:t>在我局</w:t>
      </w:r>
      <w:r>
        <w:rPr>
          <w:rFonts w:hint="eastAsia" w:ascii="仿宋" w:hAnsi="仿宋" w:eastAsia="仿宋" w:cs="仿宋"/>
          <w:sz w:val="28"/>
          <w:szCs w:val="28"/>
          <w:lang w:val="en-US" w:eastAsia="zh-CN"/>
        </w:rPr>
        <w:t>1929会议室</w:t>
      </w:r>
      <w:r>
        <w:rPr>
          <w:rFonts w:hint="eastAsia" w:ascii="仿宋" w:hAnsi="仿宋" w:eastAsia="仿宋" w:cs="仿宋"/>
          <w:sz w:val="28"/>
          <w:szCs w:val="28"/>
        </w:rPr>
        <w:t>根据项目情况讨论研究进行复评并形成评价报告。</w:t>
      </w:r>
    </w:p>
    <w:p>
      <w:pPr>
        <w:ind w:firstLine="562"/>
        <w:rPr>
          <w:rFonts w:hint="eastAsia" w:ascii="仿宋" w:hAnsi="仿宋" w:eastAsia="仿宋" w:cs="仿宋"/>
          <w:b/>
          <w:bCs/>
          <w:sz w:val="28"/>
          <w:szCs w:val="28"/>
          <w:lang w:eastAsia="zh-CN"/>
        </w:rPr>
      </w:pPr>
      <w:r>
        <w:rPr>
          <w:rFonts w:hint="eastAsia" w:ascii="仿宋" w:hAnsi="仿宋" w:eastAsia="仿宋" w:cs="仿宋"/>
          <w:b/>
          <w:bCs/>
          <w:sz w:val="28"/>
          <w:szCs w:val="28"/>
        </w:rPr>
        <w:t>1、成立绩效评价项目小组</w:t>
      </w: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2020年3月20日-3月23日</w:t>
      </w:r>
      <w:r>
        <w:rPr>
          <w:rFonts w:hint="eastAsia" w:ascii="仿宋" w:hAnsi="仿宋" w:eastAsia="仿宋" w:cs="仿宋"/>
          <w:b/>
          <w:bCs/>
          <w:sz w:val="28"/>
          <w:szCs w:val="28"/>
          <w:lang w:eastAsia="zh-CN"/>
        </w:rPr>
        <w:t>）</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rPr>
        <w:t>根据南昌市财政局《关于开展201</w:t>
      </w:r>
      <w:r>
        <w:rPr>
          <w:rFonts w:hint="eastAsia" w:ascii="仿宋" w:hAnsi="仿宋" w:eastAsia="仿宋" w:cs="仿宋"/>
          <w:sz w:val="28"/>
          <w:szCs w:val="28"/>
          <w:lang w:val="en-US" w:eastAsia="zh-CN"/>
        </w:rPr>
        <w:t>9</w:t>
      </w:r>
      <w:r>
        <w:rPr>
          <w:rFonts w:hint="eastAsia" w:ascii="仿宋" w:hAnsi="仿宋" w:eastAsia="仿宋" w:cs="仿宋"/>
          <w:sz w:val="28"/>
          <w:szCs w:val="28"/>
        </w:rPr>
        <w:t>年度市直部门财政项目支出绩效评价工作的通知》(洪财办[20</w:t>
      </w:r>
      <w:r>
        <w:rPr>
          <w:rFonts w:hint="eastAsia" w:ascii="仿宋" w:hAnsi="仿宋" w:eastAsia="仿宋" w:cs="仿宋"/>
          <w:sz w:val="28"/>
          <w:szCs w:val="28"/>
          <w:lang w:val="en-US" w:eastAsia="zh-CN"/>
        </w:rPr>
        <w:t>20</w:t>
      </w:r>
      <w:r>
        <w:rPr>
          <w:rFonts w:hint="eastAsia" w:ascii="仿宋" w:hAnsi="仿宋" w:eastAsia="仿宋" w:cs="仿宋"/>
          <w:sz w:val="28"/>
          <w:szCs w:val="28"/>
        </w:rPr>
        <w:t>]</w:t>
      </w:r>
      <w:r>
        <w:rPr>
          <w:rFonts w:hint="eastAsia" w:ascii="仿宋" w:hAnsi="仿宋" w:eastAsia="仿宋" w:cs="仿宋"/>
          <w:sz w:val="28"/>
          <w:szCs w:val="28"/>
          <w:lang w:val="en-US" w:eastAsia="zh-CN"/>
        </w:rPr>
        <w:t>10</w:t>
      </w:r>
      <w:r>
        <w:rPr>
          <w:rFonts w:hint="eastAsia" w:ascii="仿宋" w:hAnsi="仿宋" w:eastAsia="仿宋" w:cs="仿宋"/>
          <w:sz w:val="28"/>
          <w:szCs w:val="28"/>
        </w:rPr>
        <w:t>号)文件要求，成立了绩效评价项目小组，具体实施项目绩效评价工作。</w:t>
      </w:r>
    </w:p>
    <w:p>
      <w:pPr>
        <w:ind w:firstLine="562"/>
        <w:rPr>
          <w:rFonts w:hint="eastAsia" w:ascii="仿宋" w:hAnsi="仿宋" w:eastAsia="仿宋" w:cs="仿宋"/>
          <w:b/>
          <w:bCs/>
          <w:sz w:val="28"/>
          <w:szCs w:val="28"/>
          <w:lang w:eastAsia="zh-CN"/>
        </w:rPr>
      </w:pPr>
      <w:r>
        <w:rPr>
          <w:rFonts w:hint="eastAsia" w:ascii="仿宋" w:hAnsi="仿宋" w:eastAsia="仿宋" w:cs="仿宋"/>
          <w:b/>
          <w:bCs/>
          <w:sz w:val="28"/>
          <w:szCs w:val="28"/>
        </w:rPr>
        <w:t>2、绩效评价实施过程</w:t>
      </w: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2020年3月24日-4月10日</w:t>
      </w:r>
      <w:r>
        <w:rPr>
          <w:rFonts w:hint="eastAsia" w:ascii="仿宋" w:hAnsi="仿宋" w:eastAsia="仿宋" w:cs="仿宋"/>
          <w:b/>
          <w:bCs/>
          <w:sz w:val="28"/>
          <w:szCs w:val="28"/>
          <w:lang w:eastAsia="zh-CN"/>
        </w:rPr>
        <w:t>）</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制定项目绩效评价工作方案，工作方案包括项目绩效评价实施方案、评价指标体系及评价标准、基础数据表、绩效评价资料清单。项目小组对项目绩效评价相关事项进行讨论与研究，确定评价证据、数据来源及证据收集方法。</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(2)根据制定的项目绩效评价工作方案，收集项目情况实施材料，包括收集、审核基础资料;对收集的证据运用科学的方法进行综合分析。</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(3)根据分析后的情况评分，形成综合评价结果，将评价结果纳入已确定的各项指标临界区间进行比较，确定绩效评价等级(优、良、中、差)</w:t>
      </w:r>
    </w:p>
    <w:p>
      <w:pPr>
        <w:spacing w:line="600" w:lineRule="exact"/>
        <w:ind w:firstLine="560" w:firstLineChars="200"/>
        <w:rPr>
          <w:rFonts w:hint="eastAsia" w:ascii="仿宋" w:hAnsi="仿宋" w:eastAsia="仿宋" w:cs="仿宋"/>
          <w:b/>
          <w:bCs/>
          <w:sz w:val="28"/>
          <w:szCs w:val="28"/>
        </w:rPr>
      </w:pPr>
      <w:r>
        <w:rPr>
          <w:rFonts w:hint="eastAsia" w:ascii="仿宋" w:hAnsi="仿宋" w:eastAsia="仿宋" w:cs="仿宋"/>
          <w:sz w:val="28"/>
          <w:szCs w:val="28"/>
        </w:rPr>
        <w:t>(4) 对项目评价工作进行总结，</w:t>
      </w:r>
      <w:r>
        <w:rPr>
          <w:rFonts w:hint="eastAsia" w:ascii="仿宋" w:hAnsi="仿宋" w:eastAsia="仿宋" w:cs="仿宋"/>
          <w:sz w:val="28"/>
          <w:szCs w:val="28"/>
          <w:lang w:val="en-US" w:eastAsia="zh-CN"/>
        </w:rPr>
        <w:t>局机关项目评价小组根据各处室（单位）项目支出绩效自评表及评价报告对该项目进行复评，并得出结论，该项目综合自评分97分，复评得分96分。</w:t>
      </w:r>
    </w:p>
    <w:p>
      <w:pPr>
        <w:ind w:firstLine="562"/>
        <w:rPr>
          <w:rFonts w:hint="eastAsia" w:ascii="仿宋" w:hAnsi="仿宋" w:eastAsia="仿宋" w:cs="仿宋"/>
          <w:b/>
          <w:bCs/>
          <w:sz w:val="28"/>
          <w:szCs w:val="28"/>
          <w:lang w:eastAsia="zh-CN"/>
        </w:rPr>
      </w:pPr>
      <w:r>
        <w:rPr>
          <w:rFonts w:hint="eastAsia" w:ascii="仿宋" w:hAnsi="仿宋" w:eastAsia="仿宋" w:cs="仿宋"/>
          <w:b/>
          <w:bCs/>
          <w:sz w:val="28"/>
          <w:szCs w:val="28"/>
        </w:rPr>
        <w:t>3、建立绩效评价工作档案</w:t>
      </w: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2020年4月11日-4月15日</w:t>
      </w:r>
      <w:r>
        <w:rPr>
          <w:rFonts w:hint="eastAsia" w:ascii="仿宋" w:hAnsi="仿宋" w:eastAsia="仿宋" w:cs="仿宋"/>
          <w:b/>
          <w:bCs/>
          <w:sz w:val="28"/>
          <w:szCs w:val="28"/>
          <w:lang w:eastAsia="zh-CN"/>
        </w:rPr>
        <w:t>）</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绩效评价项目小组对项目评价工作进行总结，将工作背景、时间地点、工作基本情况、评价结果、评价等级、评价工作中的问题及工作建议等形成书面材料，建立项目评价工作档案。</w:t>
      </w:r>
    </w:p>
    <w:p>
      <w:pPr>
        <w:ind w:firstLine="562"/>
        <w:rPr>
          <w:rFonts w:hint="eastAsia" w:ascii="仿宋" w:hAnsi="仿宋" w:eastAsia="仿宋" w:cs="仿宋"/>
          <w:b/>
          <w:bCs/>
          <w:sz w:val="28"/>
          <w:szCs w:val="28"/>
        </w:rPr>
      </w:pPr>
      <w:r>
        <w:rPr>
          <w:rFonts w:hint="eastAsia" w:ascii="仿宋" w:hAnsi="仿宋" w:eastAsia="仿宋" w:cs="仿宋"/>
          <w:b/>
          <w:bCs/>
          <w:sz w:val="28"/>
          <w:szCs w:val="28"/>
        </w:rPr>
        <w:t xml:space="preserve"> 4、证据收集方法</w:t>
      </w:r>
    </w:p>
    <w:p>
      <w:pPr>
        <w:ind w:firstLine="840" w:firstLineChars="300"/>
        <w:jc w:val="left"/>
        <w:rPr>
          <w:rFonts w:hint="eastAsia" w:ascii="仿宋" w:hAnsi="仿宋" w:eastAsia="仿宋" w:cs="仿宋"/>
          <w:sz w:val="28"/>
          <w:szCs w:val="28"/>
        </w:rPr>
      </w:pPr>
      <w:r>
        <w:rPr>
          <w:rFonts w:hint="eastAsia" w:ascii="仿宋" w:hAnsi="仿宋" w:eastAsia="仿宋" w:cs="仿宋"/>
          <w:sz w:val="28"/>
          <w:szCs w:val="28"/>
        </w:rPr>
        <w:t>本项目主要采用查阅相关文件、合同、抽查会计凭证账表等资料，并通过社会调查等掌握具体情况，对采集的数据和资料进行详细的分析和统计。</w:t>
      </w:r>
    </w:p>
    <w:p>
      <w:pPr>
        <w:ind w:firstLine="562"/>
        <w:rPr>
          <w:rFonts w:hint="eastAsia" w:ascii="仿宋" w:hAnsi="仿宋" w:eastAsia="仿宋" w:cs="仿宋"/>
          <w:b/>
          <w:bCs/>
          <w:sz w:val="28"/>
          <w:szCs w:val="28"/>
        </w:rPr>
      </w:pPr>
      <w:r>
        <w:rPr>
          <w:rFonts w:hint="eastAsia" w:ascii="仿宋" w:hAnsi="仿宋" w:eastAsia="仿宋" w:cs="仿宋"/>
          <w:b/>
          <w:bCs/>
          <w:sz w:val="28"/>
          <w:szCs w:val="28"/>
        </w:rPr>
        <w:t>5、本次绩效评价的局限性</w:t>
      </w:r>
    </w:p>
    <w:p>
      <w:pPr>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rPr>
        <w:t>评价小组在整个绩效评价过程中，根据本项目的绩效评价指标体系，编制绩效评价工作方案、收集和分析项目数据，在充分调研的基础上秉着客观、公正的评价原则，撰写项目绩效评价报告。但由于时间、成本和精力的限制，本绩效评价报告可能还存在不尽完善之处，如由于受调查对象范围的限制，或项目对象属性专业性较强，未能充分掌握项目绩效存在的问题。</w:t>
      </w:r>
    </w:p>
    <w:bookmarkEnd w:id="24"/>
    <w:p>
      <w:pPr>
        <w:numPr>
          <w:ilvl w:val="0"/>
          <w:numId w:val="8"/>
        </w:numPr>
        <w:spacing w:line="560" w:lineRule="exact"/>
        <w:ind w:left="0" w:leftChars="0" w:firstLine="562" w:firstLineChars="200"/>
        <w:rPr>
          <w:rFonts w:hint="eastAsia" w:ascii="仿宋" w:hAnsi="仿宋" w:eastAsia="仿宋" w:cs="仿宋"/>
          <w:b/>
          <w:bCs w:val="0"/>
          <w:sz w:val="28"/>
          <w:szCs w:val="28"/>
          <w:lang w:eastAsia="zh-CN"/>
        </w:rPr>
      </w:pPr>
      <w:r>
        <w:rPr>
          <w:rFonts w:hint="eastAsia" w:ascii="仿宋" w:hAnsi="仿宋" w:eastAsia="仿宋" w:cs="仿宋"/>
          <w:b/>
          <w:bCs w:val="0"/>
          <w:sz w:val="28"/>
          <w:szCs w:val="28"/>
          <w:lang w:eastAsia="zh-CN"/>
        </w:rPr>
        <w:t>综合评价情况及评价结论（附相关评分表，评分表可参照附件</w:t>
      </w:r>
      <w:r>
        <w:rPr>
          <w:rFonts w:hint="eastAsia" w:ascii="仿宋" w:hAnsi="仿宋" w:eastAsia="仿宋" w:cs="仿宋"/>
          <w:b/>
          <w:bCs w:val="0"/>
          <w:sz w:val="28"/>
          <w:szCs w:val="28"/>
          <w:lang w:val="en-US" w:eastAsia="zh-CN"/>
        </w:rPr>
        <w:t>2</w:t>
      </w:r>
      <w:r>
        <w:rPr>
          <w:rFonts w:hint="eastAsia" w:ascii="仿宋" w:hAnsi="仿宋" w:eastAsia="仿宋" w:cs="仿宋"/>
          <w:b/>
          <w:bCs w:val="0"/>
          <w:sz w:val="28"/>
          <w:szCs w:val="28"/>
          <w:lang w:eastAsia="zh-CN"/>
        </w:rPr>
        <w:t>）</w:t>
      </w:r>
    </w:p>
    <w:tbl>
      <w:tblPr>
        <w:tblStyle w:val="18"/>
        <w:tblW w:w="9860" w:type="dxa"/>
        <w:jc w:val="center"/>
        <w:tblLayout w:type="fixed"/>
        <w:tblCellMar>
          <w:top w:w="0" w:type="dxa"/>
          <w:left w:w="108" w:type="dxa"/>
          <w:bottom w:w="0" w:type="dxa"/>
          <w:right w:w="108" w:type="dxa"/>
        </w:tblCellMar>
      </w:tblPr>
      <w:tblGrid>
        <w:gridCol w:w="639"/>
        <w:gridCol w:w="1039"/>
        <w:gridCol w:w="1134"/>
        <w:gridCol w:w="1079"/>
        <w:gridCol w:w="1136"/>
        <w:gridCol w:w="1261"/>
        <w:gridCol w:w="1107"/>
        <w:gridCol w:w="138"/>
        <w:gridCol w:w="540"/>
        <w:gridCol w:w="90"/>
        <w:gridCol w:w="510"/>
        <w:gridCol w:w="415"/>
        <w:gridCol w:w="772"/>
      </w:tblGrid>
      <w:tr>
        <w:tblPrEx>
          <w:tblCellMar>
            <w:top w:w="0" w:type="dxa"/>
            <w:left w:w="108" w:type="dxa"/>
            <w:bottom w:w="0" w:type="dxa"/>
            <w:right w:w="108" w:type="dxa"/>
          </w:tblCellMar>
        </w:tblPrEx>
        <w:trPr>
          <w:trHeight w:val="474" w:hRule="exact"/>
          <w:jc w:val="center"/>
        </w:trPr>
        <w:tc>
          <w:tcPr>
            <w:tcW w:w="9860" w:type="dxa"/>
            <w:gridSpan w:val="13"/>
            <w:tcBorders>
              <w:top w:val="nil"/>
              <w:left w:val="nil"/>
              <w:bottom w:val="nil"/>
              <w:right w:val="nil"/>
            </w:tcBorders>
            <w:vAlign w:val="center"/>
          </w:tcPr>
          <w:p>
            <w:pPr>
              <w:widowControl/>
              <w:spacing w:line="400" w:lineRule="exact"/>
              <w:jc w:val="center"/>
              <w:rPr>
                <w:rFonts w:ascii="方正小标宋简体" w:hAnsi="宋体" w:eastAsia="方正小标宋简体" w:cs="宋体"/>
                <w:bCs/>
                <w:kern w:val="0"/>
                <w:sz w:val="36"/>
                <w:szCs w:val="36"/>
              </w:rPr>
            </w:pPr>
            <w:r>
              <w:rPr>
                <w:rFonts w:hint="eastAsia" w:ascii="仿宋_GB2312" w:hAnsi="仿宋_GB2312" w:eastAsia="仿宋_GB2312" w:cs="仿宋_GB2312"/>
                <w:bCs/>
                <w:kern w:val="0"/>
                <w:sz w:val="30"/>
                <w:szCs w:val="30"/>
              </w:rPr>
              <w:t>项目支出绩效自评表</w:t>
            </w:r>
          </w:p>
        </w:tc>
      </w:tr>
      <w:tr>
        <w:tblPrEx>
          <w:tblCellMar>
            <w:top w:w="0" w:type="dxa"/>
            <w:left w:w="108" w:type="dxa"/>
            <w:bottom w:w="0" w:type="dxa"/>
            <w:right w:w="108" w:type="dxa"/>
          </w:tblCellMar>
        </w:tblPrEx>
        <w:trPr>
          <w:trHeight w:val="326" w:hRule="atLeast"/>
          <w:jc w:val="center"/>
        </w:trPr>
        <w:tc>
          <w:tcPr>
            <w:tcW w:w="9860" w:type="dxa"/>
            <w:gridSpan w:val="13"/>
            <w:tcBorders>
              <w:top w:val="nil"/>
              <w:left w:val="nil"/>
              <w:bottom w:val="nil"/>
              <w:right w:val="nil"/>
            </w:tcBorders>
          </w:tcPr>
          <w:p>
            <w:pPr>
              <w:widowControl/>
              <w:jc w:val="center"/>
              <w:rPr>
                <w:rFonts w:ascii="黑体" w:hAnsi="宋体" w:eastAsia="黑体" w:cs="宋体"/>
                <w:kern w:val="0"/>
                <w:szCs w:val="21"/>
              </w:rPr>
            </w:pPr>
            <w:r>
              <w:rPr>
                <w:rFonts w:hint="eastAsia" w:ascii="黑体" w:hAnsi="宋体" w:eastAsia="黑体" w:cs="宋体"/>
                <w:kern w:val="0"/>
                <w:szCs w:val="21"/>
              </w:rPr>
              <w:t>（2019年度）</w:t>
            </w:r>
          </w:p>
        </w:tc>
      </w:tr>
      <w:tr>
        <w:tblPrEx>
          <w:tblCellMar>
            <w:top w:w="0" w:type="dxa"/>
            <w:left w:w="108" w:type="dxa"/>
            <w:bottom w:w="0" w:type="dxa"/>
            <w:right w:w="108" w:type="dxa"/>
          </w:tblCellMar>
        </w:tblPrEx>
        <w:trPr>
          <w:trHeight w:val="418" w:hRule="exact"/>
          <w:jc w:val="center"/>
        </w:trPr>
        <w:tc>
          <w:tcPr>
            <w:tcW w:w="167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项目名称</w:t>
            </w:r>
          </w:p>
        </w:tc>
        <w:tc>
          <w:tcPr>
            <w:tcW w:w="8182" w:type="dxa"/>
            <w:gridSpan w:val="11"/>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南昌市本级不动产数据整合建库项目</w:t>
            </w:r>
          </w:p>
        </w:tc>
      </w:tr>
      <w:tr>
        <w:tblPrEx>
          <w:tblCellMar>
            <w:top w:w="0" w:type="dxa"/>
            <w:left w:w="108" w:type="dxa"/>
            <w:bottom w:w="0" w:type="dxa"/>
            <w:right w:w="108" w:type="dxa"/>
          </w:tblCellMar>
        </w:tblPrEx>
        <w:trPr>
          <w:trHeight w:val="648" w:hRule="exact"/>
          <w:jc w:val="center"/>
        </w:trPr>
        <w:tc>
          <w:tcPr>
            <w:tcW w:w="167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主管部门</w:t>
            </w:r>
          </w:p>
        </w:tc>
        <w:tc>
          <w:tcPr>
            <w:tcW w:w="4610"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南昌市自然资源局</w:t>
            </w:r>
          </w:p>
        </w:tc>
        <w:tc>
          <w:tcPr>
            <w:tcW w:w="1107"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实施单位</w:t>
            </w:r>
          </w:p>
        </w:tc>
        <w:tc>
          <w:tcPr>
            <w:tcW w:w="2465"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南昌市国土资源档案信息中心</w:t>
            </w:r>
          </w:p>
        </w:tc>
      </w:tr>
      <w:tr>
        <w:tblPrEx>
          <w:tblCellMar>
            <w:top w:w="0" w:type="dxa"/>
            <w:left w:w="108" w:type="dxa"/>
            <w:bottom w:w="0" w:type="dxa"/>
            <w:right w:w="108" w:type="dxa"/>
          </w:tblCellMar>
        </w:tblPrEx>
        <w:trPr>
          <w:trHeight w:val="517" w:hRule="exact"/>
          <w:jc w:val="center"/>
        </w:trPr>
        <w:tc>
          <w:tcPr>
            <w:tcW w:w="167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项目资金</w:t>
            </w:r>
            <w:r>
              <w:rPr>
                <w:rFonts w:hint="eastAsia" w:ascii="黑体" w:hAnsi="宋体" w:eastAsia="黑体" w:cs="宋体"/>
                <w:kern w:val="0"/>
                <w:szCs w:val="21"/>
              </w:rPr>
              <w:br w:type="textWrapping"/>
            </w:r>
            <w:r>
              <w:rPr>
                <w:rFonts w:hint="eastAsia" w:ascii="黑体" w:hAnsi="宋体" w:eastAsia="黑体" w:cs="宋体"/>
                <w:kern w:val="0"/>
                <w:szCs w:val="21"/>
              </w:rPr>
              <w:t>（万元）</w:t>
            </w:r>
          </w:p>
        </w:tc>
        <w:tc>
          <w:tcPr>
            <w:tcW w:w="22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136"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年初</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预算数</w:t>
            </w:r>
          </w:p>
        </w:tc>
        <w:tc>
          <w:tcPr>
            <w:tcW w:w="1261"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全年</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预算数</w:t>
            </w:r>
          </w:p>
        </w:tc>
        <w:tc>
          <w:tcPr>
            <w:tcW w:w="1107"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全年</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执行数</w:t>
            </w:r>
          </w:p>
        </w:tc>
        <w:tc>
          <w:tcPr>
            <w:tcW w:w="768" w:type="dxa"/>
            <w:gridSpan w:val="3"/>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分值</w:t>
            </w:r>
          </w:p>
        </w:tc>
        <w:tc>
          <w:tcPr>
            <w:tcW w:w="92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执行率</w:t>
            </w:r>
          </w:p>
        </w:tc>
        <w:tc>
          <w:tcPr>
            <w:tcW w:w="772"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得分</w:t>
            </w:r>
          </w:p>
        </w:tc>
      </w:tr>
      <w:tr>
        <w:tblPrEx>
          <w:tblCellMar>
            <w:top w:w="0" w:type="dxa"/>
            <w:left w:w="108" w:type="dxa"/>
            <w:bottom w:w="0" w:type="dxa"/>
            <w:right w:w="108" w:type="dxa"/>
          </w:tblCellMar>
        </w:tblPrEx>
        <w:trPr>
          <w:trHeight w:val="581" w:hRule="exact"/>
          <w:jc w:val="center"/>
        </w:trPr>
        <w:tc>
          <w:tcPr>
            <w:tcW w:w="167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213"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黑体" w:hAnsi="宋体" w:eastAsia="黑体" w:cs="宋体"/>
                <w:kern w:val="0"/>
                <w:szCs w:val="21"/>
              </w:rPr>
            </w:pPr>
            <w:r>
              <w:rPr>
                <w:rFonts w:hint="eastAsia" w:ascii="黑体" w:hAnsi="宋体" w:eastAsia="黑体" w:cs="宋体"/>
                <w:kern w:val="0"/>
                <w:szCs w:val="21"/>
              </w:rPr>
              <w:t>年度资金总额</w:t>
            </w:r>
          </w:p>
        </w:tc>
        <w:tc>
          <w:tcPr>
            <w:tcW w:w="1136"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716.973</w:t>
            </w:r>
          </w:p>
        </w:tc>
        <w:tc>
          <w:tcPr>
            <w:tcW w:w="1261"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716.973</w:t>
            </w:r>
          </w:p>
        </w:tc>
        <w:tc>
          <w:tcPr>
            <w:tcW w:w="1107"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716.973</w:t>
            </w:r>
          </w:p>
        </w:tc>
        <w:tc>
          <w:tcPr>
            <w:tcW w:w="768" w:type="dxa"/>
            <w:gridSpan w:val="3"/>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10</w:t>
            </w:r>
          </w:p>
        </w:tc>
        <w:tc>
          <w:tcPr>
            <w:tcW w:w="92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100%</w:t>
            </w:r>
          </w:p>
        </w:tc>
        <w:tc>
          <w:tcPr>
            <w:tcW w:w="772"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10</w:t>
            </w:r>
          </w:p>
        </w:tc>
      </w:tr>
      <w:tr>
        <w:tblPrEx>
          <w:tblCellMar>
            <w:top w:w="0" w:type="dxa"/>
            <w:left w:w="108" w:type="dxa"/>
            <w:bottom w:w="0" w:type="dxa"/>
            <w:right w:w="108" w:type="dxa"/>
          </w:tblCellMar>
        </w:tblPrEx>
        <w:trPr>
          <w:trHeight w:val="433" w:hRule="exact"/>
          <w:jc w:val="center"/>
        </w:trPr>
        <w:tc>
          <w:tcPr>
            <w:tcW w:w="167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2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其中：当年财政拨款</w:t>
            </w:r>
          </w:p>
        </w:tc>
        <w:tc>
          <w:tcPr>
            <w:tcW w:w="1136"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716.973</w:t>
            </w:r>
          </w:p>
        </w:tc>
        <w:tc>
          <w:tcPr>
            <w:tcW w:w="1261"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716.973</w:t>
            </w:r>
          </w:p>
        </w:tc>
        <w:tc>
          <w:tcPr>
            <w:tcW w:w="1107"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716.973</w:t>
            </w:r>
          </w:p>
        </w:tc>
        <w:tc>
          <w:tcPr>
            <w:tcW w:w="768" w:type="dxa"/>
            <w:gridSpan w:val="3"/>
            <w:tcBorders>
              <w:top w:val="nil"/>
              <w:left w:val="nil"/>
              <w:bottom w:val="single" w:color="auto" w:sz="4" w:space="0"/>
              <w:right w:val="single" w:color="auto" w:sz="4" w:space="0"/>
            </w:tcBorders>
            <w:vAlign w:val="center"/>
          </w:tcPr>
          <w:p>
            <w:pPr>
              <w:widowControl/>
              <w:spacing w:line="240" w:lineRule="exact"/>
              <w:jc w:val="center"/>
              <w:rPr>
                <w:rFonts w:hint="default" w:ascii="黑体" w:hAnsi="宋体" w:eastAsia="黑体" w:cs="宋体"/>
                <w:kern w:val="0"/>
                <w:szCs w:val="21"/>
                <w:lang w:val="en-US" w:eastAsia="zh-CN"/>
              </w:rPr>
            </w:pPr>
            <w:r>
              <w:rPr>
                <w:rFonts w:hint="eastAsia" w:ascii="黑体" w:hAnsi="宋体" w:eastAsia="黑体" w:cs="宋体"/>
                <w:kern w:val="0"/>
                <w:szCs w:val="21"/>
                <w:lang w:val="en-US" w:eastAsia="zh-CN"/>
              </w:rPr>
              <w:t>10</w:t>
            </w:r>
          </w:p>
        </w:tc>
        <w:tc>
          <w:tcPr>
            <w:tcW w:w="92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黑体" w:hAnsi="宋体" w:eastAsia="黑体" w:cs="宋体"/>
                <w:kern w:val="0"/>
                <w:szCs w:val="21"/>
                <w:lang w:val="en-US" w:eastAsia="zh-CN"/>
              </w:rPr>
            </w:pPr>
            <w:r>
              <w:rPr>
                <w:rFonts w:hint="eastAsia" w:ascii="黑体" w:hAnsi="宋体" w:eastAsia="黑体" w:cs="宋体"/>
                <w:kern w:val="0"/>
                <w:szCs w:val="21"/>
                <w:lang w:val="en-US" w:eastAsia="zh-CN"/>
              </w:rPr>
              <w:t>100%</w:t>
            </w:r>
          </w:p>
        </w:tc>
        <w:tc>
          <w:tcPr>
            <w:tcW w:w="772" w:type="dxa"/>
            <w:tcBorders>
              <w:top w:val="nil"/>
              <w:left w:val="nil"/>
              <w:bottom w:val="single" w:color="auto" w:sz="4" w:space="0"/>
              <w:right w:val="single" w:color="auto" w:sz="4" w:space="0"/>
            </w:tcBorders>
            <w:vAlign w:val="center"/>
          </w:tcPr>
          <w:p>
            <w:pPr>
              <w:widowControl/>
              <w:spacing w:line="240" w:lineRule="exact"/>
              <w:jc w:val="center"/>
              <w:rPr>
                <w:rFonts w:hint="default" w:ascii="黑体" w:hAnsi="宋体" w:eastAsia="黑体" w:cs="宋体"/>
                <w:kern w:val="0"/>
                <w:szCs w:val="21"/>
                <w:lang w:val="en-US" w:eastAsia="zh-CN"/>
              </w:rPr>
            </w:pPr>
            <w:r>
              <w:rPr>
                <w:rFonts w:hint="eastAsia" w:ascii="黑体" w:hAnsi="宋体" w:eastAsia="黑体" w:cs="宋体"/>
                <w:kern w:val="0"/>
                <w:szCs w:val="21"/>
                <w:lang w:val="en-US" w:eastAsia="zh-CN"/>
              </w:rPr>
              <w:t>10</w:t>
            </w:r>
          </w:p>
        </w:tc>
      </w:tr>
      <w:tr>
        <w:tblPrEx>
          <w:tblCellMar>
            <w:top w:w="0" w:type="dxa"/>
            <w:left w:w="108" w:type="dxa"/>
            <w:bottom w:w="0" w:type="dxa"/>
            <w:right w:w="108" w:type="dxa"/>
          </w:tblCellMar>
        </w:tblPrEx>
        <w:trPr>
          <w:trHeight w:val="446" w:hRule="exact"/>
          <w:jc w:val="center"/>
        </w:trPr>
        <w:tc>
          <w:tcPr>
            <w:tcW w:w="167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2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上年结转资金</w:t>
            </w:r>
          </w:p>
        </w:tc>
        <w:tc>
          <w:tcPr>
            <w:tcW w:w="1136"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0</w:t>
            </w:r>
          </w:p>
        </w:tc>
        <w:tc>
          <w:tcPr>
            <w:tcW w:w="1261"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0</w:t>
            </w:r>
          </w:p>
        </w:tc>
        <w:tc>
          <w:tcPr>
            <w:tcW w:w="1107"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0</w:t>
            </w:r>
          </w:p>
        </w:tc>
        <w:tc>
          <w:tcPr>
            <w:tcW w:w="768" w:type="dxa"/>
            <w:gridSpan w:val="3"/>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w:t>
            </w:r>
          </w:p>
        </w:tc>
        <w:tc>
          <w:tcPr>
            <w:tcW w:w="92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772"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w:t>
            </w:r>
          </w:p>
        </w:tc>
      </w:tr>
      <w:tr>
        <w:tblPrEx>
          <w:tblCellMar>
            <w:top w:w="0" w:type="dxa"/>
            <w:left w:w="108" w:type="dxa"/>
            <w:bottom w:w="0" w:type="dxa"/>
            <w:right w:w="108" w:type="dxa"/>
          </w:tblCellMar>
        </w:tblPrEx>
        <w:trPr>
          <w:trHeight w:val="486" w:hRule="exact"/>
          <w:jc w:val="center"/>
        </w:trPr>
        <w:tc>
          <w:tcPr>
            <w:tcW w:w="167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2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其他资金</w:t>
            </w:r>
          </w:p>
        </w:tc>
        <w:tc>
          <w:tcPr>
            <w:tcW w:w="1136"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0</w:t>
            </w:r>
          </w:p>
        </w:tc>
        <w:tc>
          <w:tcPr>
            <w:tcW w:w="1261"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0</w:t>
            </w:r>
          </w:p>
        </w:tc>
        <w:tc>
          <w:tcPr>
            <w:tcW w:w="1107"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0</w:t>
            </w:r>
          </w:p>
        </w:tc>
        <w:tc>
          <w:tcPr>
            <w:tcW w:w="768" w:type="dxa"/>
            <w:gridSpan w:val="3"/>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w:t>
            </w:r>
          </w:p>
        </w:tc>
        <w:tc>
          <w:tcPr>
            <w:tcW w:w="92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772"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w:t>
            </w:r>
          </w:p>
        </w:tc>
      </w:tr>
      <w:tr>
        <w:tblPrEx>
          <w:tblCellMar>
            <w:top w:w="0" w:type="dxa"/>
            <w:left w:w="108" w:type="dxa"/>
            <w:bottom w:w="0" w:type="dxa"/>
            <w:right w:w="108" w:type="dxa"/>
          </w:tblCellMar>
        </w:tblPrEx>
        <w:trPr>
          <w:trHeight w:val="637" w:hRule="exact"/>
          <w:jc w:val="center"/>
        </w:trPr>
        <w:tc>
          <w:tcPr>
            <w:tcW w:w="6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年度总体目标</w:t>
            </w:r>
          </w:p>
        </w:tc>
        <w:tc>
          <w:tcPr>
            <w:tcW w:w="5649"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预期目标</w:t>
            </w:r>
          </w:p>
        </w:tc>
        <w:tc>
          <w:tcPr>
            <w:tcW w:w="3572"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实际完成情况</w:t>
            </w:r>
          </w:p>
        </w:tc>
      </w:tr>
      <w:tr>
        <w:tblPrEx>
          <w:tblCellMar>
            <w:top w:w="0" w:type="dxa"/>
            <w:left w:w="108" w:type="dxa"/>
            <w:bottom w:w="0" w:type="dxa"/>
            <w:right w:w="108" w:type="dxa"/>
          </w:tblCellMar>
        </w:tblPrEx>
        <w:trPr>
          <w:trHeight w:val="1345" w:hRule="exact"/>
          <w:jc w:val="center"/>
        </w:trPr>
        <w:tc>
          <w:tcPr>
            <w:tcW w:w="6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p>
        </w:tc>
        <w:tc>
          <w:tcPr>
            <w:tcW w:w="5649"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仿宋" w:hAnsi="仿宋" w:eastAsia="仿宋" w:cs="仿宋"/>
                <w:sz w:val="18"/>
                <w:szCs w:val="18"/>
                <w:lang w:val="en-US" w:eastAsia="zh-CN"/>
              </w:rPr>
              <w:t>截至</w:t>
            </w:r>
            <w:r>
              <w:rPr>
                <w:rFonts w:hint="eastAsia" w:ascii="仿宋" w:hAnsi="仿宋" w:eastAsia="仿宋" w:cs="仿宋"/>
                <w:sz w:val="18"/>
                <w:szCs w:val="18"/>
              </w:rPr>
              <w:t>2019年12月31日完成南昌市本级不动产数据整合</w:t>
            </w:r>
            <w:r>
              <w:rPr>
                <w:rFonts w:hint="eastAsia" w:ascii="仿宋" w:hAnsi="仿宋" w:eastAsia="仿宋" w:cs="仿宋"/>
                <w:sz w:val="18"/>
                <w:szCs w:val="18"/>
                <w:lang w:val="en-US" w:eastAsia="zh-CN"/>
              </w:rPr>
              <w:t>项目</w:t>
            </w:r>
            <w:r>
              <w:rPr>
                <w:rFonts w:hint="eastAsia" w:ascii="仿宋" w:hAnsi="仿宋" w:eastAsia="仿宋" w:cs="仿宋"/>
                <w:sz w:val="18"/>
                <w:szCs w:val="18"/>
              </w:rPr>
              <w:t>维护工作，并保证每个日常件在规范时间内完成</w:t>
            </w:r>
          </w:p>
        </w:tc>
        <w:tc>
          <w:tcPr>
            <w:tcW w:w="3572"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仿宋" w:hAnsi="仿宋" w:eastAsia="仿宋" w:cs="仿宋"/>
                <w:sz w:val="18"/>
                <w:szCs w:val="18"/>
                <w:lang w:val="en-US" w:eastAsia="zh-CN"/>
              </w:rPr>
              <w:t>截至</w:t>
            </w:r>
            <w:r>
              <w:rPr>
                <w:rFonts w:hint="eastAsia" w:ascii="仿宋" w:hAnsi="仿宋" w:eastAsia="仿宋" w:cs="仿宋"/>
                <w:sz w:val="18"/>
                <w:szCs w:val="18"/>
              </w:rPr>
              <w:t>2019年12月31日已完成南昌市本级不动产数据整合维护工作，并保证了每个日常件在规范时间内完成</w:t>
            </w:r>
          </w:p>
        </w:tc>
      </w:tr>
      <w:tr>
        <w:tblPrEx>
          <w:tblCellMar>
            <w:top w:w="0" w:type="dxa"/>
            <w:left w:w="108" w:type="dxa"/>
            <w:bottom w:w="0" w:type="dxa"/>
            <w:right w:w="108" w:type="dxa"/>
          </w:tblCellMar>
        </w:tblPrEx>
        <w:trPr>
          <w:trHeight w:val="886" w:hRule="exact"/>
          <w:jc w:val="center"/>
        </w:trPr>
        <w:tc>
          <w:tcPr>
            <w:tcW w:w="639" w:type="dxa"/>
            <w:vMerge w:val="restart"/>
            <w:tcBorders>
              <w:top w:val="nil"/>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绩</w:t>
            </w:r>
            <w:r>
              <w:rPr>
                <w:rFonts w:hint="eastAsia" w:ascii="黑体" w:hAnsi="宋体" w:eastAsia="黑体" w:cs="宋体"/>
                <w:kern w:val="0"/>
                <w:szCs w:val="21"/>
              </w:rPr>
              <w:br w:type="textWrapping"/>
            </w:r>
            <w:r>
              <w:rPr>
                <w:rFonts w:hint="eastAsia" w:ascii="黑体" w:hAnsi="宋体" w:eastAsia="黑体" w:cs="宋体"/>
                <w:kern w:val="0"/>
                <w:szCs w:val="21"/>
              </w:rPr>
              <w:t>效</w:t>
            </w:r>
            <w:r>
              <w:rPr>
                <w:rFonts w:hint="eastAsia" w:ascii="黑体" w:hAnsi="宋体" w:eastAsia="黑体" w:cs="宋体"/>
                <w:kern w:val="0"/>
                <w:szCs w:val="21"/>
              </w:rPr>
              <w:br w:type="textWrapping"/>
            </w:r>
            <w:r>
              <w:rPr>
                <w:rFonts w:hint="eastAsia" w:ascii="黑体" w:hAnsi="宋体" w:eastAsia="黑体" w:cs="宋体"/>
                <w:kern w:val="0"/>
                <w:szCs w:val="21"/>
              </w:rPr>
              <w:t>指</w:t>
            </w:r>
            <w:r>
              <w:rPr>
                <w:rFonts w:hint="eastAsia" w:ascii="黑体" w:hAnsi="宋体" w:eastAsia="黑体" w:cs="宋体"/>
                <w:kern w:val="0"/>
                <w:szCs w:val="21"/>
              </w:rPr>
              <w:br w:type="textWrapping"/>
            </w:r>
            <w:r>
              <w:rPr>
                <w:rFonts w:hint="eastAsia" w:ascii="黑体" w:hAnsi="宋体" w:eastAsia="黑体" w:cs="宋体"/>
                <w:kern w:val="0"/>
                <w:szCs w:val="21"/>
              </w:rPr>
              <w:t>标</w:t>
            </w:r>
          </w:p>
        </w:tc>
        <w:tc>
          <w:tcPr>
            <w:tcW w:w="1039"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一级指标</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二级指标</w:t>
            </w:r>
          </w:p>
        </w:tc>
        <w:tc>
          <w:tcPr>
            <w:tcW w:w="221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三级指标</w:t>
            </w:r>
          </w:p>
        </w:tc>
        <w:tc>
          <w:tcPr>
            <w:tcW w:w="1261"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年度</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指标值</w:t>
            </w:r>
          </w:p>
        </w:tc>
        <w:tc>
          <w:tcPr>
            <w:tcW w:w="1245" w:type="dxa"/>
            <w:gridSpan w:val="2"/>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实际</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完成值</w:t>
            </w:r>
          </w:p>
        </w:tc>
        <w:tc>
          <w:tcPr>
            <w:tcW w:w="540"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分值</w:t>
            </w:r>
          </w:p>
        </w:tc>
        <w:tc>
          <w:tcPr>
            <w:tcW w:w="600" w:type="dxa"/>
            <w:gridSpan w:val="2"/>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得分</w:t>
            </w:r>
          </w:p>
        </w:tc>
        <w:tc>
          <w:tcPr>
            <w:tcW w:w="118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偏差原因分析及改进措施</w:t>
            </w:r>
          </w:p>
        </w:tc>
      </w:tr>
      <w:tr>
        <w:tblPrEx>
          <w:tblCellMar>
            <w:top w:w="0" w:type="dxa"/>
            <w:left w:w="108" w:type="dxa"/>
            <w:bottom w:w="0" w:type="dxa"/>
            <w:right w:w="108" w:type="dxa"/>
          </w:tblCellMar>
        </w:tblPrEx>
        <w:trPr>
          <w:trHeight w:val="496" w:hRule="exact"/>
          <w:jc w:val="center"/>
        </w:trPr>
        <w:tc>
          <w:tcPr>
            <w:tcW w:w="639"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产出指标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（50分）</w:t>
            </w:r>
          </w:p>
        </w:tc>
        <w:tc>
          <w:tcPr>
            <w:tcW w:w="1134"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数量指标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（20分）</w:t>
            </w:r>
          </w:p>
        </w:tc>
        <w:tc>
          <w:tcPr>
            <w:tcW w:w="221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资料收集的数量</w:t>
            </w:r>
          </w:p>
        </w:tc>
        <w:tc>
          <w:tcPr>
            <w:tcW w:w="1261" w:type="dxa"/>
            <w:tcBorders>
              <w:top w:val="nil"/>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color w:val="000000"/>
                <w:kern w:val="0"/>
                <w:sz w:val="18"/>
                <w:szCs w:val="18"/>
              </w:rPr>
              <w:t>≥</w:t>
            </w:r>
            <w:r>
              <w:rPr>
                <w:rFonts w:hint="eastAsia" w:ascii="仿宋" w:hAnsi="仿宋" w:eastAsia="仿宋" w:cs="仿宋"/>
                <w:color w:val="000000"/>
                <w:kern w:val="0"/>
                <w:sz w:val="18"/>
                <w:szCs w:val="18"/>
                <w:lang w:val="en-US" w:eastAsia="zh-CN"/>
              </w:rPr>
              <w:t>5万</w:t>
            </w:r>
            <w:r>
              <w:rPr>
                <w:rFonts w:hint="eastAsia" w:ascii="仿宋" w:hAnsi="仿宋" w:eastAsia="仿宋" w:cs="仿宋"/>
                <w:color w:val="000000"/>
                <w:kern w:val="0"/>
                <w:sz w:val="18"/>
                <w:szCs w:val="18"/>
              </w:rPr>
              <w:t>个</w:t>
            </w:r>
          </w:p>
        </w:tc>
        <w:tc>
          <w:tcPr>
            <w:tcW w:w="124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color w:val="000000"/>
                <w:kern w:val="0"/>
                <w:sz w:val="18"/>
                <w:szCs w:val="18"/>
              </w:rPr>
              <w:t>60777个</w:t>
            </w:r>
          </w:p>
        </w:tc>
        <w:tc>
          <w:tcPr>
            <w:tcW w:w="540" w:type="dxa"/>
            <w:tcBorders>
              <w:top w:val="nil"/>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10</w:t>
            </w:r>
          </w:p>
        </w:tc>
        <w:tc>
          <w:tcPr>
            <w:tcW w:w="60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10</w:t>
            </w:r>
          </w:p>
        </w:tc>
        <w:tc>
          <w:tcPr>
            <w:tcW w:w="118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478" w:hRule="exact"/>
          <w:jc w:val="center"/>
        </w:trPr>
        <w:tc>
          <w:tcPr>
            <w:tcW w:w="639"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21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基础数据勘误数量</w:t>
            </w:r>
          </w:p>
        </w:tc>
        <w:tc>
          <w:tcPr>
            <w:tcW w:w="1261" w:type="dxa"/>
            <w:tcBorders>
              <w:top w:val="nil"/>
              <w:left w:val="nil"/>
              <w:bottom w:val="single" w:color="auto" w:sz="4" w:space="0"/>
              <w:right w:val="single" w:color="auto" w:sz="4" w:space="0"/>
            </w:tcBorders>
            <w:vAlign w:val="center"/>
          </w:tcPr>
          <w:p>
            <w:pPr>
              <w:widowControl/>
              <w:spacing w:line="240" w:lineRule="exact"/>
              <w:ind w:firstLine="180" w:firstLineChars="100"/>
              <w:rPr>
                <w:rFonts w:hint="eastAsia" w:ascii="仿宋" w:hAnsi="仿宋" w:eastAsia="仿宋" w:cs="仿宋"/>
                <w:kern w:val="0"/>
                <w:sz w:val="18"/>
                <w:szCs w:val="18"/>
              </w:rPr>
            </w:pPr>
            <w:r>
              <w:rPr>
                <w:rFonts w:hint="eastAsia" w:ascii="仿宋" w:hAnsi="仿宋" w:eastAsia="仿宋" w:cs="仿宋"/>
                <w:kern w:val="0"/>
                <w:sz w:val="18"/>
                <w:szCs w:val="18"/>
              </w:rPr>
              <w:t>≥</w:t>
            </w:r>
            <w:r>
              <w:rPr>
                <w:rFonts w:hint="eastAsia" w:ascii="仿宋" w:hAnsi="仿宋" w:eastAsia="仿宋" w:cs="仿宋"/>
                <w:kern w:val="0"/>
                <w:sz w:val="18"/>
                <w:szCs w:val="18"/>
                <w:lang w:val="en-US" w:eastAsia="zh-CN"/>
              </w:rPr>
              <w:t>40万</w:t>
            </w:r>
            <w:r>
              <w:rPr>
                <w:rFonts w:hint="eastAsia" w:ascii="仿宋" w:hAnsi="仿宋" w:eastAsia="仿宋" w:cs="仿宋"/>
                <w:kern w:val="0"/>
                <w:sz w:val="18"/>
                <w:szCs w:val="18"/>
              </w:rPr>
              <w:t>个</w:t>
            </w:r>
          </w:p>
        </w:tc>
        <w:tc>
          <w:tcPr>
            <w:tcW w:w="124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431981个</w:t>
            </w:r>
          </w:p>
        </w:tc>
        <w:tc>
          <w:tcPr>
            <w:tcW w:w="540" w:type="dxa"/>
            <w:tcBorders>
              <w:top w:val="nil"/>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10</w:t>
            </w:r>
          </w:p>
        </w:tc>
        <w:tc>
          <w:tcPr>
            <w:tcW w:w="60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10</w:t>
            </w:r>
          </w:p>
        </w:tc>
        <w:tc>
          <w:tcPr>
            <w:tcW w:w="118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723" w:hRule="exact"/>
          <w:jc w:val="center"/>
        </w:trPr>
        <w:tc>
          <w:tcPr>
            <w:tcW w:w="639"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134" w:type="dxa"/>
            <w:vMerge w:val="restart"/>
            <w:tcBorders>
              <w:top w:val="nil"/>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质量指标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（15分）</w:t>
            </w:r>
          </w:p>
        </w:tc>
        <w:tc>
          <w:tcPr>
            <w:tcW w:w="221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日常件完成质量合格率</w:t>
            </w:r>
          </w:p>
        </w:tc>
        <w:tc>
          <w:tcPr>
            <w:tcW w:w="1261" w:type="dxa"/>
            <w:tcBorders>
              <w:top w:val="nil"/>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100%</w:t>
            </w:r>
          </w:p>
        </w:tc>
        <w:tc>
          <w:tcPr>
            <w:tcW w:w="124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100%</w:t>
            </w:r>
          </w:p>
        </w:tc>
        <w:tc>
          <w:tcPr>
            <w:tcW w:w="540" w:type="dxa"/>
            <w:tcBorders>
              <w:top w:val="nil"/>
              <w:left w:val="nil"/>
              <w:bottom w:val="single" w:color="auto" w:sz="4" w:space="0"/>
              <w:right w:val="single" w:color="auto" w:sz="4" w:space="0"/>
            </w:tcBorders>
            <w:vAlign w:val="center"/>
          </w:tcPr>
          <w:p>
            <w:pPr>
              <w:widowControl/>
              <w:spacing w:line="240" w:lineRule="exact"/>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7.5</w:t>
            </w:r>
          </w:p>
        </w:tc>
        <w:tc>
          <w:tcPr>
            <w:tcW w:w="60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7.5</w:t>
            </w:r>
          </w:p>
        </w:tc>
        <w:tc>
          <w:tcPr>
            <w:tcW w:w="118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721" w:hRule="exact"/>
          <w:jc w:val="center"/>
        </w:trPr>
        <w:tc>
          <w:tcPr>
            <w:tcW w:w="639"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134"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21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数据勘误完成质量合格率</w:t>
            </w:r>
          </w:p>
        </w:tc>
        <w:tc>
          <w:tcPr>
            <w:tcW w:w="1261" w:type="dxa"/>
            <w:tcBorders>
              <w:top w:val="nil"/>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100%</w:t>
            </w:r>
          </w:p>
        </w:tc>
        <w:tc>
          <w:tcPr>
            <w:tcW w:w="124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100%</w:t>
            </w:r>
          </w:p>
        </w:tc>
        <w:tc>
          <w:tcPr>
            <w:tcW w:w="540" w:type="dxa"/>
            <w:tcBorders>
              <w:top w:val="nil"/>
              <w:left w:val="nil"/>
              <w:bottom w:val="single" w:color="auto" w:sz="4" w:space="0"/>
              <w:right w:val="single" w:color="auto" w:sz="4" w:space="0"/>
            </w:tcBorders>
            <w:vAlign w:val="center"/>
          </w:tcPr>
          <w:p>
            <w:pPr>
              <w:widowControl/>
              <w:spacing w:line="240" w:lineRule="exact"/>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7.5</w:t>
            </w:r>
          </w:p>
        </w:tc>
        <w:tc>
          <w:tcPr>
            <w:tcW w:w="60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7.5</w:t>
            </w:r>
          </w:p>
        </w:tc>
        <w:tc>
          <w:tcPr>
            <w:tcW w:w="118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642" w:hRule="exact"/>
          <w:jc w:val="center"/>
        </w:trPr>
        <w:tc>
          <w:tcPr>
            <w:tcW w:w="639"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134"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时效指标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（5分）</w:t>
            </w:r>
          </w:p>
        </w:tc>
        <w:tc>
          <w:tcPr>
            <w:tcW w:w="221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作业生产部门与业务需求人员对接及时性</w:t>
            </w:r>
          </w:p>
        </w:tc>
        <w:tc>
          <w:tcPr>
            <w:tcW w:w="1261" w:type="dxa"/>
            <w:tcBorders>
              <w:top w:val="nil"/>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kern w:val="0"/>
                <w:sz w:val="18"/>
                <w:szCs w:val="18"/>
                <w:highlight w:val="none"/>
                <w:lang w:val="en-US" w:eastAsia="zh-CN"/>
              </w:rPr>
            </w:pPr>
            <w:r>
              <w:rPr>
                <w:rFonts w:hint="eastAsia" w:ascii="仿宋" w:hAnsi="仿宋" w:eastAsia="仿宋" w:cs="仿宋"/>
                <w:kern w:val="0"/>
                <w:sz w:val="18"/>
                <w:szCs w:val="18"/>
                <w:highlight w:val="none"/>
                <w:lang w:val="en-US" w:eastAsia="zh-CN"/>
              </w:rPr>
              <w:t>当日办结</w:t>
            </w:r>
          </w:p>
        </w:tc>
        <w:tc>
          <w:tcPr>
            <w:tcW w:w="124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kern w:val="0"/>
                <w:sz w:val="18"/>
                <w:szCs w:val="18"/>
                <w:highlight w:val="none"/>
                <w:lang w:val="en-US" w:eastAsia="zh-CN"/>
              </w:rPr>
            </w:pPr>
            <w:r>
              <w:rPr>
                <w:rFonts w:hint="eastAsia" w:ascii="仿宋" w:hAnsi="仿宋" w:eastAsia="仿宋" w:cs="仿宋"/>
                <w:kern w:val="0"/>
                <w:sz w:val="18"/>
                <w:szCs w:val="18"/>
                <w:highlight w:val="none"/>
                <w:lang w:val="en-US" w:eastAsia="zh-CN"/>
              </w:rPr>
              <w:t>当日办结</w:t>
            </w:r>
          </w:p>
        </w:tc>
        <w:tc>
          <w:tcPr>
            <w:tcW w:w="540" w:type="dxa"/>
            <w:tcBorders>
              <w:top w:val="nil"/>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kern w:val="0"/>
                <w:sz w:val="18"/>
                <w:szCs w:val="18"/>
                <w:highlight w:val="none"/>
                <w:lang w:val="en-US" w:eastAsia="zh-CN"/>
              </w:rPr>
            </w:pPr>
            <w:r>
              <w:rPr>
                <w:rFonts w:hint="eastAsia" w:ascii="仿宋" w:hAnsi="仿宋" w:eastAsia="仿宋" w:cs="仿宋"/>
                <w:kern w:val="0"/>
                <w:sz w:val="18"/>
                <w:szCs w:val="18"/>
                <w:highlight w:val="none"/>
                <w:lang w:val="en-US" w:eastAsia="zh-CN"/>
              </w:rPr>
              <w:t>2.5</w:t>
            </w:r>
          </w:p>
        </w:tc>
        <w:tc>
          <w:tcPr>
            <w:tcW w:w="60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kern w:val="0"/>
                <w:sz w:val="18"/>
                <w:szCs w:val="18"/>
                <w:highlight w:val="none"/>
                <w:lang w:val="en-US" w:eastAsia="zh-CN"/>
              </w:rPr>
            </w:pPr>
            <w:r>
              <w:rPr>
                <w:rFonts w:hint="eastAsia" w:ascii="仿宋" w:hAnsi="仿宋" w:eastAsia="仿宋" w:cs="仿宋"/>
                <w:kern w:val="0"/>
                <w:sz w:val="18"/>
                <w:szCs w:val="18"/>
                <w:highlight w:val="none"/>
                <w:lang w:val="en-US" w:eastAsia="zh-CN"/>
              </w:rPr>
              <w:t>2.5</w:t>
            </w:r>
          </w:p>
        </w:tc>
        <w:tc>
          <w:tcPr>
            <w:tcW w:w="118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highlight w:val="none"/>
              </w:rPr>
            </w:pPr>
          </w:p>
        </w:tc>
      </w:tr>
      <w:tr>
        <w:tblPrEx>
          <w:tblCellMar>
            <w:top w:w="0" w:type="dxa"/>
            <w:left w:w="108" w:type="dxa"/>
            <w:bottom w:w="0" w:type="dxa"/>
            <w:right w:w="108" w:type="dxa"/>
          </w:tblCellMar>
        </w:tblPrEx>
        <w:trPr>
          <w:trHeight w:val="579" w:hRule="exact"/>
          <w:jc w:val="center"/>
        </w:trPr>
        <w:tc>
          <w:tcPr>
            <w:tcW w:w="639"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134"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21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rPr>
              <w:t>整年数据</w:t>
            </w:r>
            <w:r>
              <w:rPr>
                <w:rFonts w:hint="eastAsia" w:ascii="仿宋" w:hAnsi="仿宋" w:eastAsia="仿宋" w:cs="仿宋"/>
                <w:color w:val="000000"/>
                <w:kern w:val="0"/>
                <w:sz w:val="18"/>
                <w:szCs w:val="18"/>
                <w:lang w:val="en-US" w:eastAsia="zh-CN"/>
              </w:rPr>
              <w:t>整合维护时限</w:t>
            </w:r>
          </w:p>
        </w:tc>
        <w:tc>
          <w:tcPr>
            <w:tcW w:w="1261" w:type="dxa"/>
            <w:tcBorders>
              <w:top w:val="nil"/>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2019年12月</w:t>
            </w:r>
          </w:p>
        </w:tc>
        <w:tc>
          <w:tcPr>
            <w:tcW w:w="124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2019年12月</w:t>
            </w:r>
          </w:p>
        </w:tc>
        <w:tc>
          <w:tcPr>
            <w:tcW w:w="540" w:type="dxa"/>
            <w:tcBorders>
              <w:top w:val="nil"/>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2.5</w:t>
            </w:r>
          </w:p>
        </w:tc>
        <w:tc>
          <w:tcPr>
            <w:tcW w:w="60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2.5</w:t>
            </w:r>
          </w:p>
        </w:tc>
        <w:tc>
          <w:tcPr>
            <w:tcW w:w="118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671" w:hRule="exact"/>
          <w:jc w:val="center"/>
        </w:trPr>
        <w:tc>
          <w:tcPr>
            <w:tcW w:w="639"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134"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成本指标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（10分）</w:t>
            </w:r>
          </w:p>
        </w:tc>
        <w:tc>
          <w:tcPr>
            <w:tcW w:w="221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项目质保金</w:t>
            </w:r>
          </w:p>
        </w:tc>
        <w:tc>
          <w:tcPr>
            <w:tcW w:w="1261" w:type="dxa"/>
            <w:tcBorders>
              <w:top w:val="nil"/>
              <w:left w:val="nil"/>
              <w:bottom w:val="single" w:color="auto" w:sz="4" w:space="0"/>
              <w:right w:val="single" w:color="auto" w:sz="4" w:space="0"/>
            </w:tcBorders>
            <w:vAlign w:val="center"/>
          </w:tcPr>
          <w:p>
            <w:pPr>
              <w:widowControl/>
              <w:spacing w:line="240" w:lineRule="exact"/>
              <w:jc w:val="both"/>
              <w:rPr>
                <w:rFonts w:hint="eastAsia" w:ascii="仿宋" w:hAnsi="仿宋" w:eastAsia="仿宋" w:cs="仿宋"/>
                <w:kern w:val="0"/>
                <w:sz w:val="18"/>
                <w:szCs w:val="18"/>
              </w:rPr>
            </w:pPr>
            <w:r>
              <w:rPr>
                <w:rFonts w:hint="eastAsia" w:ascii="仿宋" w:hAnsi="仿宋" w:eastAsia="仿宋" w:cs="仿宋"/>
                <w:kern w:val="0"/>
                <w:sz w:val="18"/>
                <w:szCs w:val="18"/>
              </w:rPr>
              <w:t>716.97</w:t>
            </w:r>
            <w:r>
              <w:rPr>
                <w:rFonts w:hint="eastAsia" w:ascii="仿宋" w:hAnsi="仿宋" w:eastAsia="仿宋" w:cs="仿宋"/>
                <w:kern w:val="0"/>
                <w:sz w:val="18"/>
                <w:szCs w:val="18"/>
                <w:lang w:val="en-US" w:eastAsia="zh-CN"/>
              </w:rPr>
              <w:t>3</w:t>
            </w:r>
            <w:r>
              <w:rPr>
                <w:rFonts w:hint="eastAsia" w:ascii="仿宋" w:hAnsi="仿宋" w:eastAsia="仿宋" w:cs="仿宋"/>
                <w:kern w:val="0"/>
                <w:sz w:val="18"/>
                <w:szCs w:val="18"/>
              </w:rPr>
              <w:t>万元</w:t>
            </w:r>
          </w:p>
        </w:tc>
        <w:tc>
          <w:tcPr>
            <w:tcW w:w="124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716.973万元</w:t>
            </w:r>
          </w:p>
        </w:tc>
        <w:tc>
          <w:tcPr>
            <w:tcW w:w="540" w:type="dxa"/>
            <w:tcBorders>
              <w:top w:val="nil"/>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10</w:t>
            </w:r>
          </w:p>
        </w:tc>
        <w:tc>
          <w:tcPr>
            <w:tcW w:w="60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10</w:t>
            </w:r>
          </w:p>
        </w:tc>
        <w:tc>
          <w:tcPr>
            <w:tcW w:w="118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590" w:hRule="exact"/>
          <w:jc w:val="center"/>
        </w:trPr>
        <w:tc>
          <w:tcPr>
            <w:tcW w:w="639"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效益指标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（30分）</w:t>
            </w:r>
          </w:p>
        </w:tc>
        <w:tc>
          <w:tcPr>
            <w:tcW w:w="1134"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经济效益</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指标</w:t>
            </w:r>
          </w:p>
        </w:tc>
        <w:tc>
          <w:tcPr>
            <w:tcW w:w="221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 w:hAnsi="仿宋" w:eastAsia="仿宋" w:cs="仿宋"/>
                <w:color w:val="000000"/>
                <w:kern w:val="0"/>
                <w:sz w:val="18"/>
                <w:szCs w:val="18"/>
              </w:rPr>
            </w:pPr>
          </w:p>
        </w:tc>
        <w:tc>
          <w:tcPr>
            <w:tcW w:w="1261" w:type="dxa"/>
            <w:tcBorders>
              <w:top w:val="nil"/>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kern w:val="0"/>
                <w:sz w:val="18"/>
                <w:szCs w:val="18"/>
              </w:rPr>
            </w:pPr>
          </w:p>
        </w:tc>
        <w:tc>
          <w:tcPr>
            <w:tcW w:w="124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kern w:val="0"/>
                <w:sz w:val="18"/>
                <w:szCs w:val="18"/>
              </w:rPr>
            </w:pPr>
          </w:p>
        </w:tc>
        <w:tc>
          <w:tcPr>
            <w:tcW w:w="540" w:type="dxa"/>
            <w:tcBorders>
              <w:top w:val="nil"/>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kern w:val="0"/>
                <w:sz w:val="18"/>
                <w:szCs w:val="18"/>
              </w:rPr>
            </w:pPr>
          </w:p>
        </w:tc>
        <w:tc>
          <w:tcPr>
            <w:tcW w:w="60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kern w:val="0"/>
                <w:sz w:val="18"/>
                <w:szCs w:val="18"/>
              </w:rPr>
            </w:pPr>
          </w:p>
        </w:tc>
        <w:tc>
          <w:tcPr>
            <w:tcW w:w="118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794" w:hRule="exact"/>
          <w:jc w:val="center"/>
        </w:trPr>
        <w:tc>
          <w:tcPr>
            <w:tcW w:w="639"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134"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社会效益</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指标</w:t>
            </w:r>
          </w:p>
        </w:tc>
        <w:tc>
          <w:tcPr>
            <w:tcW w:w="221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 w:hAnsi="仿宋" w:eastAsia="仿宋" w:cs="仿宋"/>
                <w:color w:val="000000"/>
                <w:kern w:val="0"/>
                <w:sz w:val="18"/>
                <w:szCs w:val="18"/>
                <w:lang w:eastAsia="zh-CN"/>
              </w:rPr>
            </w:pPr>
            <w:r>
              <w:rPr>
                <w:rFonts w:hint="eastAsia" w:ascii="仿宋" w:hAnsi="仿宋" w:eastAsia="仿宋" w:cs="仿宋"/>
                <w:color w:val="000000"/>
                <w:kern w:val="0"/>
                <w:sz w:val="18"/>
                <w:szCs w:val="18"/>
              </w:rPr>
              <w:t>加强“两证合一”社会概念，提高信息化水平，缩短不动产办理时限</w:t>
            </w:r>
            <w:r>
              <w:rPr>
                <w:rFonts w:hint="eastAsia" w:ascii="仿宋" w:hAnsi="仿宋" w:eastAsia="仿宋" w:cs="仿宋"/>
                <w:color w:val="000000"/>
                <w:kern w:val="0"/>
                <w:sz w:val="18"/>
                <w:szCs w:val="18"/>
                <w:lang w:eastAsia="zh-CN"/>
              </w:rPr>
              <w:t>。</w:t>
            </w:r>
          </w:p>
        </w:tc>
        <w:tc>
          <w:tcPr>
            <w:tcW w:w="1261" w:type="dxa"/>
            <w:tcBorders>
              <w:top w:val="nil"/>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办证时间缩短为5天</w:t>
            </w:r>
          </w:p>
        </w:tc>
        <w:tc>
          <w:tcPr>
            <w:tcW w:w="124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办证时间缩短为5天</w:t>
            </w:r>
          </w:p>
        </w:tc>
        <w:tc>
          <w:tcPr>
            <w:tcW w:w="540" w:type="dxa"/>
            <w:tcBorders>
              <w:top w:val="nil"/>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20</w:t>
            </w:r>
          </w:p>
        </w:tc>
        <w:tc>
          <w:tcPr>
            <w:tcW w:w="60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1</w:t>
            </w:r>
            <w:r>
              <w:rPr>
                <w:rFonts w:hint="eastAsia" w:ascii="仿宋" w:hAnsi="仿宋" w:eastAsia="仿宋" w:cs="仿宋"/>
                <w:kern w:val="0"/>
                <w:sz w:val="18"/>
                <w:szCs w:val="18"/>
                <w:lang w:val="en-US" w:eastAsia="zh-CN"/>
              </w:rPr>
              <w:t>8</w:t>
            </w:r>
          </w:p>
        </w:tc>
        <w:tc>
          <w:tcPr>
            <w:tcW w:w="118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564" w:hRule="exact"/>
          <w:jc w:val="center"/>
        </w:trPr>
        <w:tc>
          <w:tcPr>
            <w:tcW w:w="639"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134"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生态效益</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指标</w:t>
            </w:r>
          </w:p>
        </w:tc>
        <w:tc>
          <w:tcPr>
            <w:tcW w:w="221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 w:hAnsi="仿宋" w:eastAsia="仿宋" w:cs="仿宋"/>
                <w:color w:val="000000"/>
                <w:kern w:val="0"/>
                <w:sz w:val="18"/>
                <w:szCs w:val="18"/>
              </w:rPr>
            </w:pPr>
          </w:p>
        </w:tc>
        <w:tc>
          <w:tcPr>
            <w:tcW w:w="1261" w:type="dxa"/>
            <w:tcBorders>
              <w:top w:val="nil"/>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kern w:val="0"/>
                <w:sz w:val="18"/>
                <w:szCs w:val="18"/>
              </w:rPr>
            </w:pPr>
          </w:p>
        </w:tc>
        <w:tc>
          <w:tcPr>
            <w:tcW w:w="124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kern w:val="0"/>
                <w:sz w:val="18"/>
                <w:szCs w:val="18"/>
              </w:rPr>
            </w:pPr>
          </w:p>
        </w:tc>
        <w:tc>
          <w:tcPr>
            <w:tcW w:w="540" w:type="dxa"/>
            <w:tcBorders>
              <w:top w:val="nil"/>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kern w:val="0"/>
                <w:sz w:val="18"/>
                <w:szCs w:val="18"/>
              </w:rPr>
            </w:pPr>
          </w:p>
        </w:tc>
        <w:tc>
          <w:tcPr>
            <w:tcW w:w="60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kern w:val="0"/>
                <w:sz w:val="18"/>
                <w:szCs w:val="18"/>
              </w:rPr>
            </w:pPr>
          </w:p>
        </w:tc>
        <w:tc>
          <w:tcPr>
            <w:tcW w:w="118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879" w:hRule="exact"/>
          <w:jc w:val="center"/>
        </w:trPr>
        <w:tc>
          <w:tcPr>
            <w:tcW w:w="639"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134"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可持续影响指标</w:t>
            </w:r>
          </w:p>
        </w:tc>
        <w:tc>
          <w:tcPr>
            <w:tcW w:w="221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为不动产统一登记提供数据支撑，为其他委办局提供数据共享。</w:t>
            </w:r>
          </w:p>
        </w:tc>
        <w:tc>
          <w:tcPr>
            <w:tcW w:w="1261" w:type="dxa"/>
            <w:tcBorders>
              <w:top w:val="nil"/>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100%</w:t>
            </w:r>
          </w:p>
        </w:tc>
        <w:tc>
          <w:tcPr>
            <w:tcW w:w="124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100%</w:t>
            </w:r>
          </w:p>
        </w:tc>
        <w:tc>
          <w:tcPr>
            <w:tcW w:w="540" w:type="dxa"/>
            <w:tcBorders>
              <w:top w:val="nil"/>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10</w:t>
            </w:r>
          </w:p>
        </w:tc>
        <w:tc>
          <w:tcPr>
            <w:tcW w:w="600"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10</w:t>
            </w:r>
          </w:p>
        </w:tc>
        <w:tc>
          <w:tcPr>
            <w:tcW w:w="118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831" w:hRule="exact"/>
          <w:jc w:val="center"/>
        </w:trPr>
        <w:tc>
          <w:tcPr>
            <w:tcW w:w="639"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39" w:type="dxa"/>
            <w:tcBorders>
              <w:top w:val="nil"/>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满意度</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（10分）</w:t>
            </w:r>
          </w:p>
        </w:tc>
        <w:tc>
          <w:tcPr>
            <w:tcW w:w="1134"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服务对象满意度指标（10分）</w:t>
            </w:r>
          </w:p>
        </w:tc>
        <w:tc>
          <w:tcPr>
            <w:tcW w:w="221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lang w:val="en-US" w:eastAsia="zh-CN"/>
              </w:rPr>
              <w:t>群众</w:t>
            </w:r>
            <w:r>
              <w:rPr>
                <w:rFonts w:hint="eastAsia" w:ascii="仿宋" w:hAnsi="仿宋" w:eastAsia="仿宋" w:cs="仿宋"/>
                <w:color w:val="000000"/>
                <w:kern w:val="0"/>
                <w:sz w:val="18"/>
                <w:szCs w:val="18"/>
              </w:rPr>
              <w:t>满意度</w:t>
            </w:r>
          </w:p>
        </w:tc>
        <w:tc>
          <w:tcPr>
            <w:tcW w:w="1261" w:type="dxa"/>
            <w:tcBorders>
              <w:top w:val="nil"/>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≥9</w:t>
            </w:r>
            <w:r>
              <w:rPr>
                <w:rFonts w:hint="eastAsia" w:ascii="仿宋" w:hAnsi="仿宋" w:eastAsia="仿宋" w:cs="仿宋"/>
                <w:kern w:val="0"/>
                <w:sz w:val="18"/>
                <w:szCs w:val="18"/>
                <w:lang w:val="en-US" w:eastAsia="zh-CN"/>
              </w:rPr>
              <w:t>0</w:t>
            </w:r>
            <w:r>
              <w:rPr>
                <w:rFonts w:hint="eastAsia" w:ascii="仿宋" w:hAnsi="仿宋" w:eastAsia="仿宋" w:cs="仿宋"/>
                <w:kern w:val="0"/>
                <w:sz w:val="18"/>
                <w:szCs w:val="18"/>
              </w:rPr>
              <w:t>%</w:t>
            </w:r>
          </w:p>
        </w:tc>
        <w:tc>
          <w:tcPr>
            <w:tcW w:w="124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≥9</w:t>
            </w:r>
            <w:r>
              <w:rPr>
                <w:rFonts w:hint="eastAsia" w:ascii="仿宋" w:hAnsi="仿宋" w:eastAsia="仿宋" w:cs="仿宋"/>
                <w:kern w:val="0"/>
                <w:sz w:val="18"/>
                <w:szCs w:val="18"/>
                <w:lang w:val="en-US" w:eastAsia="zh-CN"/>
              </w:rPr>
              <w:t>0</w:t>
            </w:r>
            <w:r>
              <w:rPr>
                <w:rFonts w:hint="eastAsia" w:ascii="仿宋" w:hAnsi="仿宋" w:eastAsia="仿宋" w:cs="仿宋"/>
                <w:kern w:val="0"/>
                <w:sz w:val="18"/>
                <w:szCs w:val="18"/>
              </w:rPr>
              <w:t>%</w:t>
            </w:r>
          </w:p>
        </w:tc>
        <w:tc>
          <w:tcPr>
            <w:tcW w:w="540" w:type="dxa"/>
            <w:tcBorders>
              <w:top w:val="nil"/>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10</w:t>
            </w:r>
          </w:p>
        </w:tc>
        <w:tc>
          <w:tcPr>
            <w:tcW w:w="600"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9</w:t>
            </w:r>
          </w:p>
        </w:tc>
        <w:tc>
          <w:tcPr>
            <w:tcW w:w="118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446" w:hRule="exact"/>
          <w:jc w:val="center"/>
        </w:trPr>
        <w:tc>
          <w:tcPr>
            <w:tcW w:w="7533"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总分</w:t>
            </w:r>
          </w:p>
        </w:tc>
        <w:tc>
          <w:tcPr>
            <w:tcW w:w="540"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100</w:t>
            </w:r>
          </w:p>
        </w:tc>
        <w:tc>
          <w:tcPr>
            <w:tcW w:w="600"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黑体" w:hAnsi="宋体" w:eastAsia="黑体" w:cs="宋体"/>
                <w:color w:val="000000"/>
                <w:kern w:val="0"/>
                <w:szCs w:val="21"/>
                <w:lang w:val="en-US" w:eastAsia="zh-CN"/>
              </w:rPr>
            </w:pPr>
            <w:r>
              <w:rPr>
                <w:rFonts w:hint="eastAsia" w:ascii="黑体" w:hAnsi="宋体" w:eastAsia="黑体" w:cs="宋体"/>
                <w:color w:val="000000"/>
                <w:kern w:val="0"/>
                <w:szCs w:val="21"/>
                <w:lang w:val="en-US" w:eastAsia="zh-CN"/>
              </w:rPr>
              <w:t>97</w:t>
            </w:r>
          </w:p>
        </w:tc>
        <w:tc>
          <w:tcPr>
            <w:tcW w:w="118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r>
    </w:tbl>
    <w:p>
      <w:pPr>
        <w:numPr>
          <w:ilvl w:val="0"/>
          <w:numId w:val="0"/>
        </w:numPr>
        <w:spacing w:line="560" w:lineRule="exact"/>
        <w:ind w:leftChars="200"/>
        <w:rPr>
          <w:rFonts w:hint="eastAsia" w:ascii="仿宋" w:hAnsi="仿宋" w:eastAsia="仿宋" w:cs="仿宋"/>
          <w:b/>
          <w:bCs w:val="0"/>
          <w:sz w:val="28"/>
          <w:szCs w:val="28"/>
          <w:lang w:eastAsia="zh-CN"/>
        </w:rPr>
      </w:pPr>
    </w:p>
    <w:p>
      <w:pPr>
        <w:numPr>
          <w:ilvl w:val="0"/>
          <w:numId w:val="8"/>
        </w:numPr>
        <w:spacing w:line="560" w:lineRule="exact"/>
        <w:ind w:left="0" w:leftChars="0" w:firstLine="562" w:firstLineChars="200"/>
        <w:rPr>
          <w:rFonts w:hint="eastAsia" w:ascii="仿宋" w:hAnsi="仿宋" w:eastAsia="仿宋" w:cs="仿宋"/>
          <w:b/>
          <w:bCs w:val="0"/>
          <w:sz w:val="28"/>
          <w:szCs w:val="28"/>
        </w:rPr>
      </w:pPr>
      <w:r>
        <w:rPr>
          <w:rFonts w:hint="eastAsia" w:ascii="仿宋" w:hAnsi="仿宋" w:eastAsia="仿宋" w:cs="仿宋"/>
          <w:b/>
          <w:bCs w:val="0"/>
          <w:sz w:val="28"/>
          <w:szCs w:val="28"/>
        </w:rPr>
        <w:t>绩效评价指标分析</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 w:hAnsi="仿宋" w:eastAsia="仿宋" w:cs="仿宋"/>
          <w:b/>
          <w:bCs/>
          <w:sz w:val="28"/>
          <w:szCs w:val="28"/>
          <w:lang w:val="en-US" w:eastAsia="zh-CN"/>
        </w:rPr>
      </w:pPr>
      <w:r>
        <w:rPr>
          <w:rFonts w:hint="eastAsia" w:ascii="仿宋" w:hAnsi="仿宋" w:eastAsia="仿宋" w:cs="仿宋"/>
          <w:b/>
          <w:bCs w:val="0"/>
          <w:sz w:val="28"/>
          <w:szCs w:val="28"/>
          <w:lang w:val="en-US" w:eastAsia="zh-CN"/>
        </w:rPr>
        <w:t xml:space="preserve">    </w:t>
      </w:r>
      <w:r>
        <w:rPr>
          <w:rFonts w:hint="eastAsia" w:ascii="仿宋" w:hAnsi="仿宋" w:eastAsia="仿宋" w:cs="仿宋"/>
          <w:b/>
          <w:bCs/>
          <w:sz w:val="28"/>
          <w:szCs w:val="28"/>
          <w:lang w:val="en-US" w:eastAsia="zh-CN"/>
        </w:rPr>
        <w:t>(一)项目投入指标(5分)，根据评价原则，投入评价得分为5分。</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lef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1、项目立项规范性指标得分情况分析(2.5分)</w:t>
      </w:r>
    </w:p>
    <w:p>
      <w:pPr>
        <w:spacing w:line="56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项目立项规范：根据南昌市人民政府办公厅《关于印发南昌市不动产统一登记工作实施方案的通知》（洪府厅发</w:t>
      </w:r>
      <w:r>
        <w:rPr>
          <w:rFonts w:hint="eastAsia" w:ascii="仿宋" w:hAnsi="仿宋" w:eastAsia="仿宋" w:cs="仿宋"/>
          <w:sz w:val="28"/>
          <w:szCs w:val="28"/>
        </w:rPr>
        <w:t>〔</w:t>
      </w:r>
      <w:r>
        <w:rPr>
          <w:rFonts w:hint="eastAsia" w:ascii="仿宋" w:hAnsi="仿宋" w:eastAsia="仿宋" w:cs="仿宋"/>
          <w:sz w:val="28"/>
          <w:szCs w:val="28"/>
          <w:lang w:val="en-US" w:eastAsia="zh-CN"/>
        </w:rPr>
        <w:t>2015</w:t>
      </w:r>
      <w:r>
        <w:rPr>
          <w:rFonts w:hint="eastAsia" w:ascii="仿宋" w:hAnsi="仿宋" w:eastAsia="仿宋" w:cs="仿宋"/>
          <w:sz w:val="28"/>
          <w:szCs w:val="28"/>
        </w:rPr>
        <w:t>〕</w:t>
      </w:r>
      <w:r>
        <w:rPr>
          <w:rFonts w:hint="eastAsia" w:ascii="仿宋" w:hAnsi="仿宋" w:eastAsia="仿宋" w:cs="仿宋"/>
          <w:sz w:val="28"/>
          <w:szCs w:val="28"/>
          <w:lang w:val="en-US" w:eastAsia="zh-CN"/>
        </w:rPr>
        <w:t>56号），《关于恳请批准市本级不动产登记数据整合建库项目经费和采用单一来源方式采购的请示》（洪不动产文</w:t>
      </w:r>
      <w:r>
        <w:rPr>
          <w:rFonts w:hint="eastAsia" w:ascii="仿宋" w:hAnsi="仿宋" w:eastAsia="仿宋" w:cs="仿宋"/>
          <w:sz w:val="28"/>
          <w:szCs w:val="28"/>
        </w:rPr>
        <w:t>〔</w:t>
      </w:r>
      <w:r>
        <w:rPr>
          <w:rFonts w:hint="eastAsia" w:ascii="仿宋" w:hAnsi="仿宋" w:eastAsia="仿宋" w:cs="仿宋"/>
          <w:sz w:val="28"/>
          <w:szCs w:val="28"/>
          <w:lang w:val="en-US" w:eastAsia="zh-CN"/>
        </w:rPr>
        <w:t>2016</w:t>
      </w:r>
      <w:r>
        <w:rPr>
          <w:rFonts w:hint="eastAsia" w:ascii="仿宋" w:hAnsi="仿宋" w:eastAsia="仿宋" w:cs="仿宋"/>
          <w:sz w:val="28"/>
          <w:szCs w:val="28"/>
        </w:rPr>
        <w:t>〕</w:t>
      </w:r>
      <w:r>
        <w:rPr>
          <w:rFonts w:hint="eastAsia" w:ascii="仿宋" w:hAnsi="仿宋" w:eastAsia="仿宋" w:cs="仿宋"/>
          <w:sz w:val="28"/>
          <w:szCs w:val="28"/>
          <w:lang w:val="en-US" w:eastAsia="zh-CN"/>
        </w:rPr>
        <w:t>2号），南昌市财政局便函（洪财建便字</w:t>
      </w:r>
      <w:r>
        <w:rPr>
          <w:rFonts w:hint="eastAsia" w:ascii="仿宋" w:hAnsi="仿宋" w:eastAsia="仿宋" w:cs="仿宋"/>
          <w:sz w:val="28"/>
          <w:szCs w:val="28"/>
        </w:rPr>
        <w:t>〔</w:t>
      </w:r>
      <w:r>
        <w:rPr>
          <w:rFonts w:hint="eastAsia" w:ascii="仿宋" w:hAnsi="仿宋" w:eastAsia="仿宋" w:cs="仿宋"/>
          <w:sz w:val="28"/>
          <w:szCs w:val="28"/>
          <w:lang w:val="en-US" w:eastAsia="zh-CN"/>
        </w:rPr>
        <w:t>2016</w:t>
      </w:r>
      <w:r>
        <w:rPr>
          <w:rFonts w:hint="eastAsia" w:ascii="仿宋" w:hAnsi="仿宋" w:eastAsia="仿宋" w:cs="仿宋"/>
          <w:sz w:val="28"/>
          <w:szCs w:val="28"/>
        </w:rPr>
        <w:t>〕</w:t>
      </w:r>
      <w:r>
        <w:rPr>
          <w:rFonts w:hint="eastAsia" w:ascii="仿宋" w:hAnsi="仿宋" w:eastAsia="仿宋" w:cs="仿宋"/>
          <w:sz w:val="28"/>
          <w:szCs w:val="28"/>
          <w:lang w:val="en-US" w:eastAsia="zh-CN"/>
        </w:rPr>
        <w:t>18号），取得《关于南昌市本级不动产登记数据整合建库项目建议书的批复》（洪发改区字</w:t>
      </w:r>
      <w:r>
        <w:rPr>
          <w:rFonts w:hint="eastAsia" w:ascii="仿宋" w:hAnsi="仿宋" w:eastAsia="仿宋" w:cs="仿宋"/>
          <w:sz w:val="28"/>
          <w:szCs w:val="28"/>
        </w:rPr>
        <w:t>〔</w:t>
      </w:r>
      <w:r>
        <w:rPr>
          <w:rFonts w:hint="eastAsia" w:ascii="仿宋" w:hAnsi="仿宋" w:eastAsia="仿宋" w:cs="仿宋"/>
          <w:sz w:val="28"/>
          <w:szCs w:val="28"/>
          <w:lang w:val="en-US" w:eastAsia="zh-CN"/>
        </w:rPr>
        <w:t>2016</w:t>
      </w:r>
      <w:r>
        <w:rPr>
          <w:rFonts w:hint="eastAsia" w:ascii="仿宋" w:hAnsi="仿宋" w:eastAsia="仿宋" w:cs="仿宋"/>
          <w:sz w:val="28"/>
          <w:szCs w:val="28"/>
        </w:rPr>
        <w:t>〕</w:t>
      </w:r>
      <w:r>
        <w:rPr>
          <w:rFonts w:hint="eastAsia" w:ascii="仿宋" w:hAnsi="仿宋" w:eastAsia="仿宋" w:cs="仿宋"/>
          <w:sz w:val="28"/>
          <w:szCs w:val="28"/>
          <w:lang w:val="en-US" w:eastAsia="zh-CN"/>
        </w:rPr>
        <w:t>4号），南昌市政府抄告单（洪府厅抄字</w:t>
      </w:r>
      <w:r>
        <w:rPr>
          <w:rFonts w:hint="eastAsia" w:ascii="仿宋" w:hAnsi="仿宋" w:eastAsia="仿宋" w:cs="仿宋"/>
          <w:sz w:val="28"/>
          <w:szCs w:val="28"/>
        </w:rPr>
        <w:t>〔</w:t>
      </w:r>
      <w:r>
        <w:rPr>
          <w:rFonts w:hint="eastAsia" w:ascii="仿宋" w:hAnsi="仿宋" w:eastAsia="仿宋" w:cs="仿宋"/>
          <w:sz w:val="28"/>
          <w:szCs w:val="28"/>
          <w:lang w:val="en-US" w:eastAsia="zh-CN"/>
        </w:rPr>
        <w:t>2016</w:t>
      </w:r>
      <w:r>
        <w:rPr>
          <w:rFonts w:hint="eastAsia" w:ascii="仿宋" w:hAnsi="仿宋" w:eastAsia="仿宋" w:cs="仿宋"/>
          <w:sz w:val="28"/>
          <w:szCs w:val="28"/>
        </w:rPr>
        <w:t>〕</w:t>
      </w:r>
      <w:r>
        <w:rPr>
          <w:rFonts w:hint="eastAsia" w:ascii="仿宋" w:hAnsi="仿宋" w:eastAsia="仿宋" w:cs="仿宋"/>
          <w:sz w:val="28"/>
          <w:szCs w:val="28"/>
          <w:lang w:val="en-US" w:eastAsia="zh-CN"/>
        </w:rPr>
        <w:t>326号）确立本项目，投资估算为8190万元，建设工期3年。</w:t>
      </w:r>
    </w:p>
    <w:p>
      <w:pPr>
        <w:spacing w:line="560" w:lineRule="exact"/>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设立项目年度预期目标：</w:t>
      </w:r>
      <w:r>
        <w:rPr>
          <w:rFonts w:hint="eastAsia" w:ascii="仿宋" w:hAnsi="仿宋" w:eastAsia="仿宋" w:cs="仿宋"/>
          <w:sz w:val="28"/>
          <w:szCs w:val="28"/>
        </w:rPr>
        <w:t>完成3年（2018年10月20日至2021年10月19日）的南昌市本级不动产登记数据库质保工作，为2016年1月1日后南昌市依法开展的不动产统一登记业务提供技术支撑与数据服务，并批量解决原存量登记数据问题。</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lef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2、预算资金执行率指标得分情况分析(2.5分)</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预算资金执行率：(实际支出资金÷预算安排资金)× 100%=(716.973万元/716.973万元)×100%=83.7%，该项指标得2.5分。</w:t>
      </w:r>
    </w:p>
    <w:p>
      <w:pPr>
        <w:keepNext w:val="0"/>
        <w:keepLines w:val="0"/>
        <w:pageBreakBefore w:val="0"/>
        <w:widowControl w:val="0"/>
        <w:numPr>
          <w:ilvl w:val="0"/>
          <w:numId w:val="0"/>
        </w:numPr>
        <w:kinsoku/>
        <w:wordWrap/>
        <w:overflowPunct/>
        <w:topLinePunct w:val="0"/>
        <w:autoSpaceDE/>
        <w:autoSpaceDN/>
        <w:bidi w:val="0"/>
        <w:adjustRightInd/>
        <w:snapToGrid/>
        <w:ind w:leftChars="-200"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（二）项目过程指标(5分)，根据评价原则，过程评价得分为5分。</w:t>
      </w:r>
    </w:p>
    <w:p>
      <w:pPr>
        <w:keepNext w:val="0"/>
        <w:keepLines w:val="0"/>
        <w:pageBreakBefore w:val="0"/>
        <w:widowControl w:val="0"/>
        <w:numPr>
          <w:ilvl w:val="0"/>
          <w:numId w:val="10"/>
        </w:numPr>
        <w:kinsoku/>
        <w:wordWrap/>
        <w:overflowPunct/>
        <w:topLinePunct w:val="0"/>
        <w:autoSpaceDE/>
        <w:autoSpaceDN/>
        <w:bidi w:val="0"/>
        <w:adjustRightInd/>
        <w:snapToGrid/>
        <w:ind w:leftChars="0"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业务管理指标得分情况分析（2.5分）</w:t>
      </w:r>
    </w:p>
    <w:p>
      <w:pPr>
        <w:keepNext w:val="0"/>
        <w:keepLines w:val="0"/>
        <w:pageBreakBefore w:val="0"/>
        <w:widowControl w:val="0"/>
        <w:numPr>
          <w:ilvl w:val="0"/>
          <w:numId w:val="11"/>
        </w:numPr>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管理制度健全性：数据软件科负责该项目具体业务，制订了《档案信息中心政府采购暂行管理制度》、《档案信息中心合同管理制度》；</w:t>
      </w:r>
    </w:p>
    <w:p>
      <w:pPr>
        <w:keepNext w:val="0"/>
        <w:keepLines w:val="0"/>
        <w:pageBreakBefore w:val="0"/>
        <w:widowControl w:val="0"/>
        <w:numPr>
          <w:ilvl w:val="0"/>
          <w:numId w:val="11"/>
        </w:numPr>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项目质量可控性：根据《南昌市本级不动产数据整合建库项目合同》的约定，完成的数据整合件、勘误件均达到相应标准并验收合格；</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2、财务管理指标得分情况分析 (2.5分)</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(1)管理制度健全性：</w:t>
      </w:r>
      <w:r>
        <w:rPr>
          <w:rFonts w:hint="eastAsia" w:ascii="仿宋" w:hAnsi="仿宋" w:eastAsia="仿宋" w:cs="仿宋"/>
          <w:sz w:val="28"/>
          <w:szCs w:val="28"/>
          <w:lang w:val="en-US" w:eastAsia="zh-CN"/>
        </w:rPr>
        <w:t>制订了《档案信息中心经费开支管理制度》；</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outlineLvl w:val="9"/>
        <w:rPr>
          <w:rFonts w:hint="eastAsia" w:ascii="仿宋" w:hAnsi="仿宋" w:eastAsia="仿宋" w:cs="仿宋"/>
          <w:b/>
          <w:bCs w:val="0"/>
          <w:sz w:val="28"/>
          <w:szCs w:val="28"/>
          <w:lang w:val="en-US" w:eastAsia="zh-CN"/>
        </w:rPr>
      </w:pPr>
      <w:r>
        <w:rPr>
          <w:rFonts w:hint="eastAsia" w:ascii="仿宋" w:hAnsi="仿宋" w:eastAsia="仿宋" w:cs="仿宋"/>
          <w:b w:val="0"/>
          <w:bCs w:val="0"/>
          <w:sz w:val="28"/>
          <w:szCs w:val="28"/>
          <w:lang w:val="en-US" w:eastAsia="zh-CN"/>
        </w:rPr>
        <w:t>(2)财务管理：该项目经局领导集体研究同意，财务手续完善，按照财务管理要求，项目进度款支付，由经办业务处室提出付款请求，业务处室负责人签字审核，报分管局领导批准后，再转报至局财务处审核后，由分管财务局领导签批后，方能支付项目进度款，符合市自然资源局经费管理开支办法的规定。</w:t>
      </w:r>
      <w:bookmarkStart w:id="33" w:name="_GoBack"/>
      <w:bookmarkEnd w:id="33"/>
    </w:p>
    <w:p>
      <w:pPr>
        <w:pStyle w:val="21"/>
        <w:numPr>
          <w:ilvl w:val="0"/>
          <w:numId w:val="0"/>
        </w:numPr>
        <w:ind w:firstLine="562" w:firstLineChars="200"/>
        <w:rPr>
          <w:rFonts w:hint="eastAsia" w:ascii="仿宋" w:hAnsi="仿宋" w:eastAsia="仿宋" w:cs="仿宋"/>
          <w:b/>
          <w:bCs/>
          <w:sz w:val="28"/>
          <w:szCs w:val="28"/>
          <w:lang w:eastAsia="zh-CN"/>
        </w:rPr>
      </w:pPr>
      <w:bookmarkStart w:id="25" w:name="_Toc384"/>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三</w:t>
      </w:r>
      <w:r>
        <w:rPr>
          <w:rFonts w:hint="eastAsia" w:ascii="仿宋" w:hAnsi="仿宋" w:eastAsia="仿宋" w:cs="仿宋"/>
          <w:b/>
          <w:bCs/>
          <w:sz w:val="28"/>
          <w:szCs w:val="28"/>
          <w:lang w:eastAsia="zh-CN"/>
        </w:rPr>
        <w:t>）</w:t>
      </w:r>
      <w:r>
        <w:rPr>
          <w:rFonts w:hint="eastAsia" w:ascii="仿宋" w:hAnsi="仿宋" w:eastAsia="仿宋" w:cs="仿宋"/>
          <w:b/>
          <w:bCs/>
          <w:sz w:val="28"/>
          <w:szCs w:val="28"/>
        </w:rPr>
        <w:t>项目产出指标</w:t>
      </w:r>
      <w:bookmarkEnd w:id="25"/>
      <w:bookmarkStart w:id="26" w:name="_Toc24212"/>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50分</w:t>
      </w: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根据评价原则，产出评价得分为</w:t>
      </w:r>
    </w:p>
    <w:p>
      <w:pPr>
        <w:pStyle w:val="21"/>
        <w:ind w:firstLine="643"/>
        <w:rPr>
          <w:rFonts w:hint="eastAsia" w:ascii="仿宋" w:hAnsi="仿宋" w:eastAsia="仿宋" w:cs="仿宋"/>
          <w:b/>
          <w:bCs/>
          <w:sz w:val="28"/>
          <w:szCs w:val="28"/>
        </w:rPr>
      </w:pPr>
      <w:r>
        <w:rPr>
          <w:rFonts w:hint="eastAsia" w:ascii="仿宋" w:hAnsi="仿宋" w:eastAsia="仿宋" w:cs="仿宋"/>
          <w:b/>
          <w:bCs/>
          <w:sz w:val="28"/>
          <w:szCs w:val="28"/>
        </w:rPr>
        <w:t>1、产出数量指标</w:t>
      </w:r>
      <w:bookmarkEnd w:id="26"/>
      <w:r>
        <w:rPr>
          <w:rFonts w:hint="eastAsia" w:ascii="仿宋" w:hAnsi="仿宋" w:eastAsia="仿宋" w:cs="仿宋"/>
          <w:b/>
          <w:bCs/>
          <w:sz w:val="28"/>
          <w:szCs w:val="28"/>
          <w:lang w:val="en-US" w:eastAsia="zh-CN"/>
        </w:rPr>
        <w:t>( 20分)，该指标评价得分为20分。</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（1）日常件处理工作。包括60777件日常件材料、流程操作规范制定等,</w:t>
      </w:r>
      <w:r>
        <w:rPr>
          <w:rFonts w:hint="eastAsia" w:ascii="仿宋" w:hAnsi="仿宋" w:eastAsia="仿宋" w:cs="仿宋"/>
          <w:sz w:val="28"/>
          <w:szCs w:val="28"/>
          <w:lang w:val="en-US" w:eastAsia="zh-CN"/>
        </w:rPr>
        <w:t>根据评分标准，</w:t>
      </w:r>
      <w:r>
        <w:rPr>
          <w:rFonts w:hint="eastAsia" w:ascii="仿宋" w:hAnsi="仿宋" w:eastAsia="仿宋" w:cs="仿宋"/>
          <w:sz w:val="28"/>
          <w:szCs w:val="28"/>
        </w:rPr>
        <w:t>得10分；</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（2）数据库基础数据勘误工作。通过不同问题数据的类型，对数据库各类数据排查分析已处理数据431981条,</w:t>
      </w:r>
      <w:r>
        <w:rPr>
          <w:rFonts w:hint="eastAsia" w:ascii="仿宋" w:hAnsi="仿宋" w:eastAsia="仿宋" w:cs="仿宋"/>
          <w:sz w:val="28"/>
          <w:szCs w:val="28"/>
          <w:lang w:val="en-US" w:eastAsia="zh-CN"/>
        </w:rPr>
        <w:t>根据评分标准，</w:t>
      </w:r>
      <w:r>
        <w:rPr>
          <w:rFonts w:hint="eastAsia" w:ascii="仿宋" w:hAnsi="仿宋" w:eastAsia="仿宋" w:cs="仿宋"/>
          <w:sz w:val="28"/>
          <w:szCs w:val="28"/>
        </w:rPr>
        <w:t>得</w:t>
      </w:r>
      <w:r>
        <w:rPr>
          <w:rFonts w:hint="eastAsia" w:ascii="仿宋" w:hAnsi="仿宋" w:eastAsia="仿宋" w:cs="仿宋"/>
          <w:sz w:val="28"/>
          <w:szCs w:val="28"/>
          <w:lang w:val="en-US" w:eastAsia="zh-CN"/>
        </w:rPr>
        <w:t>10</w:t>
      </w:r>
      <w:r>
        <w:rPr>
          <w:rFonts w:hint="eastAsia" w:ascii="仿宋" w:hAnsi="仿宋" w:eastAsia="仿宋" w:cs="仿宋"/>
          <w:sz w:val="28"/>
          <w:szCs w:val="28"/>
        </w:rPr>
        <w:t>分；</w:t>
      </w:r>
    </w:p>
    <w:p>
      <w:pPr>
        <w:pStyle w:val="21"/>
        <w:ind w:firstLine="643"/>
        <w:rPr>
          <w:rFonts w:hint="default" w:ascii="仿宋" w:hAnsi="仿宋" w:eastAsia="仿宋" w:cs="仿宋"/>
          <w:b/>
          <w:bCs/>
          <w:sz w:val="28"/>
          <w:szCs w:val="28"/>
          <w:lang w:val="en-US" w:eastAsia="zh-CN"/>
        </w:rPr>
      </w:pPr>
      <w:bookmarkStart w:id="27" w:name="_Toc1298"/>
      <w:r>
        <w:rPr>
          <w:rFonts w:hint="eastAsia" w:ascii="仿宋" w:hAnsi="仿宋" w:eastAsia="仿宋" w:cs="仿宋"/>
          <w:b/>
          <w:bCs/>
          <w:sz w:val="28"/>
          <w:szCs w:val="28"/>
        </w:rPr>
        <w:t>2、产出质量指标</w:t>
      </w:r>
      <w:bookmarkEnd w:id="27"/>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15分</w:t>
      </w: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该指标评价得分为15分。</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日常件完成质量合格率100%，根据评分标准，</w:t>
      </w:r>
      <w:r>
        <w:rPr>
          <w:rFonts w:hint="eastAsia" w:ascii="仿宋" w:hAnsi="仿宋" w:eastAsia="仿宋" w:cs="仿宋"/>
          <w:sz w:val="28"/>
          <w:szCs w:val="28"/>
        </w:rPr>
        <w:t>得5分；</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（2）数据</w:t>
      </w:r>
      <w:r>
        <w:rPr>
          <w:rFonts w:hint="eastAsia" w:ascii="仿宋" w:hAnsi="仿宋" w:eastAsia="仿宋" w:cs="仿宋"/>
          <w:sz w:val="28"/>
          <w:szCs w:val="28"/>
          <w:lang w:val="en-US" w:eastAsia="zh-CN"/>
        </w:rPr>
        <w:t>勘误合格率100%，根据评分标准，</w:t>
      </w:r>
      <w:r>
        <w:rPr>
          <w:rFonts w:hint="eastAsia" w:ascii="仿宋" w:hAnsi="仿宋" w:eastAsia="仿宋" w:cs="仿宋"/>
          <w:sz w:val="28"/>
          <w:szCs w:val="28"/>
        </w:rPr>
        <w:t>得</w:t>
      </w:r>
      <w:r>
        <w:rPr>
          <w:rFonts w:hint="eastAsia" w:ascii="仿宋" w:hAnsi="仿宋" w:eastAsia="仿宋" w:cs="仿宋"/>
          <w:sz w:val="28"/>
          <w:szCs w:val="28"/>
          <w:lang w:val="en-US" w:eastAsia="zh-CN"/>
        </w:rPr>
        <w:t>5</w:t>
      </w:r>
      <w:r>
        <w:rPr>
          <w:rFonts w:hint="eastAsia" w:ascii="仿宋" w:hAnsi="仿宋" w:eastAsia="仿宋" w:cs="仿宋"/>
          <w:sz w:val="28"/>
          <w:szCs w:val="28"/>
        </w:rPr>
        <w:t>分。</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val="en-US" w:eastAsia="zh-CN"/>
        </w:rPr>
        <w:t>作业生产部门及时对接</w:t>
      </w:r>
      <w:r>
        <w:rPr>
          <w:rFonts w:hint="eastAsia" w:ascii="仿宋" w:hAnsi="仿宋" w:eastAsia="仿宋" w:cs="仿宋"/>
          <w:sz w:val="28"/>
          <w:szCs w:val="28"/>
        </w:rPr>
        <w:t>，</w:t>
      </w:r>
      <w:r>
        <w:rPr>
          <w:rFonts w:hint="eastAsia" w:ascii="仿宋" w:hAnsi="仿宋" w:eastAsia="仿宋" w:cs="仿宋"/>
          <w:sz w:val="28"/>
          <w:szCs w:val="28"/>
          <w:lang w:val="en-US" w:eastAsia="zh-CN"/>
        </w:rPr>
        <w:t>当日办结，根据评分标准，</w:t>
      </w:r>
      <w:r>
        <w:rPr>
          <w:rFonts w:hint="eastAsia" w:ascii="仿宋" w:hAnsi="仿宋" w:eastAsia="仿宋" w:cs="仿宋"/>
          <w:sz w:val="28"/>
          <w:szCs w:val="28"/>
        </w:rPr>
        <w:t>得5分。</w:t>
      </w:r>
    </w:p>
    <w:p>
      <w:pPr>
        <w:pStyle w:val="21"/>
        <w:ind w:firstLine="643"/>
        <w:rPr>
          <w:rFonts w:hint="default" w:ascii="仿宋" w:hAnsi="仿宋" w:eastAsia="仿宋" w:cs="仿宋"/>
          <w:b/>
          <w:bCs/>
          <w:sz w:val="28"/>
          <w:szCs w:val="28"/>
          <w:lang w:val="en-US" w:eastAsia="zh-CN"/>
        </w:rPr>
      </w:pPr>
      <w:bookmarkStart w:id="28" w:name="_Toc5785"/>
      <w:r>
        <w:rPr>
          <w:rFonts w:hint="eastAsia" w:ascii="仿宋" w:hAnsi="仿宋" w:eastAsia="仿宋" w:cs="仿宋"/>
          <w:b/>
          <w:bCs/>
          <w:sz w:val="28"/>
          <w:szCs w:val="28"/>
        </w:rPr>
        <w:t>3、产出时效指标</w:t>
      </w: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5分</w:t>
      </w: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该指标</w:t>
      </w:r>
      <w:r>
        <w:rPr>
          <w:rFonts w:hint="eastAsia" w:ascii="仿宋" w:hAnsi="仿宋" w:eastAsia="仿宋" w:cs="仿宋"/>
          <w:b/>
          <w:bCs/>
          <w:sz w:val="28"/>
          <w:szCs w:val="28"/>
        </w:rPr>
        <w:t>得分</w:t>
      </w:r>
      <w:bookmarkEnd w:id="28"/>
      <w:r>
        <w:rPr>
          <w:rFonts w:hint="eastAsia" w:ascii="仿宋" w:hAnsi="仿宋" w:eastAsia="仿宋" w:cs="仿宋"/>
          <w:b/>
          <w:bCs/>
          <w:sz w:val="28"/>
          <w:szCs w:val="28"/>
          <w:lang w:val="en-US" w:eastAsia="zh-CN"/>
        </w:rPr>
        <w:t>为5分。</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截至</w:t>
      </w:r>
      <w:r>
        <w:rPr>
          <w:rFonts w:hint="eastAsia" w:ascii="仿宋" w:hAnsi="仿宋" w:eastAsia="仿宋" w:cs="仿宋"/>
          <w:sz w:val="28"/>
          <w:szCs w:val="28"/>
        </w:rPr>
        <w:t>2019年12月31日已完成了南昌市本级不动产数据整合维护工作，并保证了每个日常件在规范时间内完成，得5分。</w:t>
      </w:r>
    </w:p>
    <w:p>
      <w:pPr>
        <w:pStyle w:val="21"/>
        <w:ind w:firstLine="643"/>
        <w:rPr>
          <w:rFonts w:hint="default" w:ascii="仿宋" w:hAnsi="仿宋" w:eastAsia="仿宋" w:cs="仿宋"/>
          <w:b/>
          <w:bCs/>
          <w:sz w:val="28"/>
          <w:szCs w:val="28"/>
          <w:lang w:val="en-US"/>
        </w:rPr>
      </w:pPr>
      <w:r>
        <w:rPr>
          <w:rFonts w:hint="eastAsia" w:ascii="仿宋" w:hAnsi="仿宋" w:eastAsia="仿宋" w:cs="仿宋"/>
          <w:b/>
          <w:bCs/>
          <w:sz w:val="28"/>
          <w:szCs w:val="28"/>
        </w:rPr>
        <w:t>4、产出成本指标</w:t>
      </w: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10分</w:t>
      </w: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该指标得分为10分。</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项目</w:t>
      </w:r>
      <w:r>
        <w:rPr>
          <w:rFonts w:hint="eastAsia" w:ascii="仿宋" w:hAnsi="仿宋" w:eastAsia="仿宋" w:cs="仿宋"/>
          <w:sz w:val="28"/>
          <w:szCs w:val="28"/>
          <w:lang w:val="en-US" w:eastAsia="zh-CN"/>
        </w:rPr>
        <w:t>资金支付</w:t>
      </w:r>
      <w:r>
        <w:rPr>
          <w:rFonts w:hint="eastAsia" w:ascii="仿宋" w:hAnsi="仿宋" w:eastAsia="仿宋" w:cs="仿宋"/>
          <w:sz w:val="28"/>
          <w:szCs w:val="28"/>
        </w:rPr>
        <w:t>严格按照按预算安排控制，</w:t>
      </w:r>
      <w:r>
        <w:rPr>
          <w:rFonts w:hint="eastAsia" w:ascii="仿宋" w:hAnsi="仿宋" w:eastAsia="仿宋" w:cs="仿宋"/>
          <w:sz w:val="28"/>
          <w:szCs w:val="28"/>
          <w:lang w:val="en-US" w:eastAsia="zh-CN"/>
        </w:rPr>
        <w:t>得</w:t>
      </w:r>
      <w:r>
        <w:rPr>
          <w:rFonts w:hint="eastAsia" w:ascii="仿宋" w:hAnsi="仿宋" w:eastAsia="仿宋" w:cs="仿宋"/>
          <w:sz w:val="28"/>
          <w:szCs w:val="28"/>
        </w:rPr>
        <w:t>10分。</w:t>
      </w:r>
    </w:p>
    <w:p>
      <w:pPr>
        <w:pStyle w:val="21"/>
        <w:numPr>
          <w:ilvl w:val="0"/>
          <w:numId w:val="0"/>
        </w:numPr>
        <w:ind w:firstLine="281" w:firstLineChars="100"/>
        <w:rPr>
          <w:rFonts w:hint="eastAsia" w:ascii="仿宋" w:hAnsi="仿宋" w:eastAsia="仿宋" w:cs="仿宋"/>
          <w:b/>
          <w:bCs/>
          <w:sz w:val="28"/>
          <w:szCs w:val="28"/>
        </w:rPr>
      </w:pPr>
      <w:bookmarkStart w:id="29" w:name="_Toc22638"/>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四</w:t>
      </w:r>
      <w:r>
        <w:rPr>
          <w:rFonts w:hint="eastAsia" w:ascii="仿宋" w:hAnsi="仿宋" w:eastAsia="仿宋" w:cs="仿宋"/>
          <w:b/>
          <w:bCs/>
          <w:sz w:val="28"/>
          <w:szCs w:val="28"/>
          <w:lang w:eastAsia="zh-CN"/>
        </w:rPr>
        <w:t>）</w:t>
      </w:r>
      <w:r>
        <w:rPr>
          <w:rFonts w:hint="eastAsia" w:ascii="仿宋" w:hAnsi="仿宋" w:eastAsia="仿宋" w:cs="仿宋"/>
          <w:b/>
          <w:bCs/>
          <w:sz w:val="28"/>
          <w:szCs w:val="28"/>
        </w:rPr>
        <w:t>项目效果指标</w:t>
      </w:r>
      <w:bookmarkEnd w:id="29"/>
      <w:r>
        <w:rPr>
          <w:rFonts w:hint="default" w:ascii="仿宋" w:hAnsi="仿宋" w:eastAsia="仿宋" w:cs="仿宋"/>
          <w:b/>
          <w:bCs/>
          <w:sz w:val="28"/>
          <w:szCs w:val="28"/>
          <w:lang w:val="en-US" w:eastAsia="zh-CN"/>
        </w:rPr>
        <w:t>(</w:t>
      </w:r>
      <w:r>
        <w:rPr>
          <w:rFonts w:hint="eastAsia" w:ascii="仿宋" w:hAnsi="仿宋" w:cs="仿宋"/>
          <w:b/>
          <w:bCs/>
          <w:sz w:val="28"/>
          <w:szCs w:val="28"/>
          <w:lang w:val="en-US" w:eastAsia="zh-CN"/>
        </w:rPr>
        <w:t>30</w:t>
      </w:r>
      <w:r>
        <w:rPr>
          <w:rFonts w:hint="default" w:ascii="仿宋" w:hAnsi="仿宋" w:eastAsia="仿宋" w:cs="仿宋"/>
          <w:b/>
          <w:bCs/>
          <w:sz w:val="28"/>
          <w:szCs w:val="28"/>
          <w:lang w:val="en-US" w:eastAsia="zh-CN"/>
        </w:rPr>
        <w:t>分)，根据评价原则，效益评价得分为</w:t>
      </w:r>
      <w:r>
        <w:rPr>
          <w:rFonts w:hint="eastAsia" w:ascii="仿宋" w:hAnsi="仿宋" w:eastAsia="仿宋" w:cs="仿宋"/>
          <w:b/>
          <w:bCs/>
          <w:sz w:val="28"/>
          <w:szCs w:val="28"/>
          <w:lang w:val="en-US" w:eastAsia="zh-CN"/>
        </w:rPr>
        <w:t>28</w:t>
      </w:r>
      <w:r>
        <w:rPr>
          <w:rFonts w:hint="default" w:ascii="仿宋" w:hAnsi="仿宋" w:eastAsia="仿宋" w:cs="仿宋"/>
          <w:b/>
          <w:bCs/>
          <w:sz w:val="28"/>
          <w:szCs w:val="28"/>
          <w:lang w:val="en-US" w:eastAsia="zh-CN"/>
        </w:rPr>
        <w:t>分。</w:t>
      </w:r>
    </w:p>
    <w:p>
      <w:pPr>
        <w:pStyle w:val="21"/>
        <w:ind w:firstLine="643"/>
        <w:rPr>
          <w:rFonts w:hint="eastAsia" w:ascii="仿宋" w:hAnsi="仿宋" w:eastAsia="仿宋" w:cs="仿宋"/>
          <w:b/>
          <w:bCs/>
          <w:sz w:val="28"/>
          <w:szCs w:val="28"/>
          <w:lang w:eastAsia="zh-CN"/>
        </w:rPr>
      </w:pPr>
      <w:bookmarkStart w:id="30" w:name="_Toc5641"/>
      <w:r>
        <w:rPr>
          <w:rFonts w:hint="eastAsia" w:ascii="仿宋" w:hAnsi="仿宋" w:eastAsia="仿宋" w:cs="仿宋"/>
          <w:b/>
          <w:bCs/>
          <w:sz w:val="28"/>
          <w:szCs w:val="28"/>
          <w:lang w:val="en-US" w:eastAsia="zh-CN"/>
        </w:rPr>
        <w:t>1</w:t>
      </w:r>
      <w:r>
        <w:rPr>
          <w:rFonts w:hint="eastAsia" w:ascii="仿宋" w:hAnsi="仿宋" w:eastAsia="仿宋" w:cs="仿宋"/>
          <w:b/>
          <w:bCs/>
          <w:sz w:val="28"/>
          <w:szCs w:val="28"/>
        </w:rPr>
        <w:t>、社会效益指标</w:t>
      </w:r>
      <w:bookmarkEnd w:id="30"/>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18分</w:t>
      </w:r>
      <w:r>
        <w:rPr>
          <w:rFonts w:hint="eastAsia" w:ascii="仿宋" w:hAnsi="仿宋" w:eastAsia="仿宋" w:cs="仿宋"/>
          <w:b/>
          <w:bCs/>
          <w:sz w:val="28"/>
          <w:szCs w:val="28"/>
          <w:lang w:eastAsia="zh-CN"/>
        </w:rPr>
        <w:t>）</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查清全市土地的面积和权属，全面掌握房屋的实际分布状况，对实现“两证合一”明确房屋的权属有重大意义；将分散在国土、住建、农业、林业等部门的不动产登记职能整合到一个部门，建立一个完善的数据库，在整个数据库上查漏补缺，得</w:t>
      </w:r>
      <w:r>
        <w:rPr>
          <w:rFonts w:hint="eastAsia" w:ascii="仿宋" w:hAnsi="仿宋" w:eastAsia="仿宋" w:cs="仿宋"/>
          <w:sz w:val="28"/>
          <w:szCs w:val="28"/>
          <w:lang w:val="en-US" w:eastAsia="zh-CN"/>
        </w:rPr>
        <w:t>10</w:t>
      </w:r>
      <w:r>
        <w:rPr>
          <w:rFonts w:hint="eastAsia" w:ascii="仿宋" w:hAnsi="仿宋" w:eastAsia="仿宋" w:cs="仿宋"/>
          <w:sz w:val="28"/>
          <w:szCs w:val="28"/>
        </w:rPr>
        <w:t>分。</w:t>
      </w:r>
    </w:p>
    <w:p>
      <w:pPr>
        <w:pStyle w:val="21"/>
        <w:ind w:firstLine="643"/>
        <w:rPr>
          <w:rFonts w:hint="eastAsia" w:ascii="仿宋" w:hAnsi="仿宋" w:eastAsia="仿宋" w:cs="仿宋"/>
          <w:b/>
          <w:bCs/>
          <w:sz w:val="28"/>
          <w:szCs w:val="28"/>
          <w:lang w:eastAsia="zh-CN"/>
        </w:rPr>
      </w:pPr>
      <w:bookmarkStart w:id="31" w:name="_Toc8557"/>
      <w:r>
        <w:rPr>
          <w:rFonts w:hint="eastAsia" w:ascii="仿宋" w:hAnsi="仿宋" w:eastAsia="仿宋" w:cs="仿宋"/>
          <w:b/>
          <w:bCs/>
          <w:sz w:val="28"/>
          <w:szCs w:val="28"/>
          <w:lang w:val="en-US" w:eastAsia="zh-CN"/>
        </w:rPr>
        <w:t>2</w:t>
      </w:r>
      <w:r>
        <w:rPr>
          <w:rFonts w:hint="eastAsia" w:ascii="仿宋" w:hAnsi="仿宋" w:eastAsia="仿宋" w:cs="仿宋"/>
          <w:b/>
          <w:bCs/>
          <w:sz w:val="28"/>
          <w:szCs w:val="28"/>
        </w:rPr>
        <w:t>、可持续影响指标</w:t>
      </w:r>
      <w:bookmarkEnd w:id="31"/>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10分</w:t>
      </w:r>
      <w:r>
        <w:rPr>
          <w:rFonts w:hint="eastAsia" w:ascii="仿宋" w:hAnsi="仿宋" w:eastAsia="仿宋" w:cs="仿宋"/>
          <w:b/>
          <w:bCs/>
          <w:sz w:val="28"/>
          <w:szCs w:val="28"/>
          <w:lang w:eastAsia="zh-CN"/>
        </w:rPr>
        <w:t>）</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通过不动产数据整合维护工作，查清全市土地的利用情况，房屋的分布情况对防患不动产登记风险有重要意义，避免出现分散登记制度下产权交叉或冲突，有效的保护了权利人的合法权益土，得</w:t>
      </w:r>
      <w:r>
        <w:rPr>
          <w:rFonts w:hint="eastAsia" w:ascii="仿宋" w:hAnsi="仿宋" w:eastAsia="仿宋" w:cs="仿宋"/>
          <w:sz w:val="28"/>
          <w:szCs w:val="28"/>
          <w:lang w:val="en-US" w:eastAsia="zh-CN"/>
        </w:rPr>
        <w:t>10</w:t>
      </w:r>
      <w:r>
        <w:rPr>
          <w:rFonts w:hint="eastAsia" w:ascii="仿宋" w:hAnsi="仿宋" w:eastAsia="仿宋" w:cs="仿宋"/>
          <w:sz w:val="28"/>
          <w:szCs w:val="28"/>
        </w:rPr>
        <w:t>分。</w:t>
      </w:r>
    </w:p>
    <w:p>
      <w:pPr>
        <w:pStyle w:val="21"/>
        <w:numPr>
          <w:ilvl w:val="0"/>
          <w:numId w:val="0"/>
        </w:numPr>
        <w:ind w:firstLine="281" w:firstLineChars="100"/>
        <w:rPr>
          <w:rFonts w:hint="eastAsia" w:ascii="仿宋" w:hAnsi="仿宋" w:eastAsia="仿宋" w:cs="仿宋"/>
          <w:b/>
          <w:bCs/>
          <w:sz w:val="28"/>
          <w:szCs w:val="28"/>
        </w:rPr>
      </w:pP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五</w:t>
      </w:r>
      <w:r>
        <w:rPr>
          <w:rFonts w:hint="eastAsia" w:ascii="仿宋" w:hAnsi="仿宋" w:eastAsia="仿宋" w:cs="仿宋"/>
          <w:b/>
          <w:bCs/>
          <w:sz w:val="28"/>
          <w:szCs w:val="28"/>
          <w:lang w:eastAsia="zh-CN"/>
        </w:rPr>
        <w:t>）</w:t>
      </w:r>
      <w:r>
        <w:rPr>
          <w:rFonts w:hint="eastAsia" w:ascii="仿宋" w:hAnsi="仿宋" w:eastAsia="仿宋" w:cs="仿宋"/>
          <w:b/>
          <w:bCs/>
          <w:sz w:val="28"/>
          <w:szCs w:val="28"/>
        </w:rPr>
        <w:t>项目</w:t>
      </w:r>
      <w:r>
        <w:rPr>
          <w:rFonts w:hint="eastAsia" w:ascii="仿宋" w:hAnsi="仿宋" w:eastAsia="仿宋" w:cs="仿宋"/>
          <w:b/>
          <w:bCs/>
          <w:sz w:val="28"/>
          <w:szCs w:val="28"/>
          <w:lang w:val="en-US" w:eastAsia="zh-CN"/>
        </w:rPr>
        <w:t>满意度</w:t>
      </w:r>
      <w:r>
        <w:rPr>
          <w:rFonts w:hint="eastAsia" w:ascii="仿宋" w:hAnsi="仿宋" w:eastAsia="仿宋" w:cs="仿宋"/>
          <w:b/>
          <w:bCs/>
          <w:sz w:val="28"/>
          <w:szCs w:val="28"/>
        </w:rPr>
        <w:t>指标</w:t>
      </w:r>
      <w:r>
        <w:rPr>
          <w:rFonts w:hint="default" w:ascii="仿宋" w:hAnsi="仿宋" w:eastAsia="仿宋" w:cs="仿宋"/>
          <w:b/>
          <w:bCs/>
          <w:sz w:val="28"/>
          <w:szCs w:val="28"/>
          <w:lang w:val="en-US" w:eastAsia="zh-CN"/>
        </w:rPr>
        <w:t>(</w:t>
      </w:r>
      <w:r>
        <w:rPr>
          <w:rFonts w:hint="eastAsia" w:ascii="仿宋" w:hAnsi="仿宋" w:eastAsia="仿宋" w:cs="仿宋"/>
          <w:b/>
          <w:bCs/>
          <w:sz w:val="28"/>
          <w:szCs w:val="28"/>
          <w:lang w:val="en-US" w:eastAsia="zh-CN"/>
        </w:rPr>
        <w:t>1</w:t>
      </w:r>
      <w:r>
        <w:rPr>
          <w:rFonts w:hint="eastAsia" w:ascii="仿宋" w:hAnsi="仿宋" w:cs="仿宋"/>
          <w:b/>
          <w:bCs/>
          <w:sz w:val="28"/>
          <w:szCs w:val="28"/>
          <w:lang w:val="en-US" w:eastAsia="zh-CN"/>
        </w:rPr>
        <w:t>0</w:t>
      </w:r>
      <w:r>
        <w:rPr>
          <w:rFonts w:hint="default" w:ascii="仿宋" w:hAnsi="仿宋" w:eastAsia="仿宋" w:cs="仿宋"/>
          <w:b/>
          <w:bCs/>
          <w:sz w:val="28"/>
          <w:szCs w:val="28"/>
          <w:lang w:val="en-US" w:eastAsia="zh-CN"/>
        </w:rPr>
        <w:t>分)，根据评价原则，效益评价得分为</w:t>
      </w:r>
      <w:r>
        <w:rPr>
          <w:rFonts w:hint="eastAsia" w:ascii="仿宋" w:hAnsi="仿宋" w:eastAsia="仿宋" w:cs="仿宋"/>
          <w:b/>
          <w:bCs/>
          <w:sz w:val="28"/>
          <w:szCs w:val="28"/>
          <w:lang w:val="en-US" w:eastAsia="zh-CN"/>
        </w:rPr>
        <w:t>9</w:t>
      </w:r>
      <w:r>
        <w:rPr>
          <w:rFonts w:hint="default" w:ascii="仿宋" w:hAnsi="仿宋" w:eastAsia="仿宋" w:cs="仿宋"/>
          <w:b/>
          <w:bCs/>
          <w:sz w:val="28"/>
          <w:szCs w:val="28"/>
          <w:lang w:val="en-US" w:eastAsia="zh-CN"/>
        </w:rPr>
        <w:t>分。</w:t>
      </w:r>
    </w:p>
    <w:p>
      <w:pPr>
        <w:pStyle w:val="21"/>
        <w:ind w:firstLine="643"/>
        <w:rPr>
          <w:rFonts w:hint="eastAsia" w:ascii="仿宋" w:hAnsi="仿宋" w:eastAsia="仿宋" w:cs="仿宋"/>
          <w:b/>
          <w:bCs/>
          <w:sz w:val="28"/>
          <w:szCs w:val="28"/>
        </w:rPr>
      </w:pPr>
      <w:bookmarkStart w:id="32" w:name="_Toc15095"/>
      <w:r>
        <w:rPr>
          <w:rFonts w:hint="eastAsia" w:ascii="仿宋" w:hAnsi="仿宋" w:eastAsia="仿宋" w:cs="仿宋"/>
          <w:b/>
          <w:bCs/>
          <w:sz w:val="28"/>
          <w:szCs w:val="28"/>
        </w:rPr>
        <w:t>1、项目满意度指标</w:t>
      </w:r>
      <w:bookmarkEnd w:id="32"/>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围绕绩效评价指标体系，通过数据采集及电话回访等方式，对该项目绩效进行了客观、公正的评价，收集对项目完成满意度打分情况,综合评分达到90%以上，得</w:t>
      </w:r>
      <w:r>
        <w:rPr>
          <w:rFonts w:hint="eastAsia" w:ascii="仿宋" w:hAnsi="仿宋" w:eastAsia="仿宋" w:cs="仿宋"/>
          <w:sz w:val="28"/>
          <w:szCs w:val="28"/>
          <w:lang w:val="en-US" w:eastAsia="zh-CN"/>
        </w:rPr>
        <w:t>9</w:t>
      </w:r>
      <w:r>
        <w:rPr>
          <w:rFonts w:hint="eastAsia" w:ascii="仿宋" w:hAnsi="仿宋" w:eastAsia="仿宋" w:cs="仿宋"/>
          <w:sz w:val="28"/>
          <w:szCs w:val="28"/>
        </w:rPr>
        <w:t>分。</w:t>
      </w:r>
    </w:p>
    <w:p>
      <w:pPr>
        <w:numPr>
          <w:ilvl w:val="0"/>
          <w:numId w:val="0"/>
        </w:numPr>
        <w:spacing w:line="56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lang w:val="en-US" w:eastAsia="zh-CN"/>
        </w:rPr>
        <w:t>五、</w:t>
      </w:r>
      <w:r>
        <w:rPr>
          <w:rFonts w:hint="eastAsia" w:ascii="仿宋" w:hAnsi="仿宋" w:eastAsia="仿宋" w:cs="仿宋"/>
          <w:b/>
          <w:bCs/>
          <w:sz w:val="28"/>
          <w:szCs w:val="28"/>
        </w:rPr>
        <w:t>主要经验及做法、存在的问题及原因分析</w:t>
      </w:r>
    </w:p>
    <w:p>
      <w:pPr>
        <w:spacing w:line="56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（一）主要经验及做法</w:t>
      </w:r>
    </w:p>
    <w:p>
      <w:pPr>
        <w:numPr>
          <w:ilvl w:val="0"/>
          <w:numId w:val="12"/>
        </w:numPr>
        <w:adjustRightInd w:val="0"/>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由于存量登记信息数据量大，原整合规范与现整合规范不一致，导致存量问题种类繁多。因此整合过程中，要认真思考，学会举一反三的作业模式，尽可能的批量排查出存量问题数据并一次性解决。</w:t>
      </w:r>
    </w:p>
    <w:p>
      <w:pPr>
        <w:numPr>
          <w:ilvl w:val="0"/>
          <w:numId w:val="12"/>
        </w:numPr>
        <w:adjustRightInd w:val="0"/>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为保障数据的准确性，对于批量处理的问题数据，按照一次作业两次检查的模式整理好作业成果，并交由局相关处室核查后，再进行数据入库操作。</w:t>
      </w:r>
    </w:p>
    <w:p>
      <w:pPr>
        <w:numPr>
          <w:ilvl w:val="0"/>
          <w:numId w:val="12"/>
        </w:numPr>
        <w:adjustRightInd w:val="0"/>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对于疑难问题数据，加强与相关处室沟通，积极寻求问题数据解决方案，保障数据处理的有理有据。</w:t>
      </w:r>
    </w:p>
    <w:p>
      <w:pPr>
        <w:spacing w:line="56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（二）存在的问题及原因分析</w:t>
      </w:r>
    </w:p>
    <w:p>
      <w:pPr>
        <w:adjustRightInd w:val="0"/>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由于时间跨度大，不同时间阶段的登记标准、要求及规范不一致；导致存量土地档案材料质量参差不齐。经过土地档案整理后发现存在①部分土地档案缺失重要材料，包含土地登记卡、审批表、测量报告、图纸等，②同一地块已重新登记发证，但原土地登记信息状态仍为现势等问题，导致部分土地登记信息暂未完成落地落宗工作。</w:t>
      </w:r>
    </w:p>
    <w:p>
      <w:pPr>
        <w:adjustRightInd w:val="0"/>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在日常业务办理及查询过程中，存在申请人反馈其名下房产已拆迁，但登记信息状态仍然为现势的问题。问题产生主要原因有两方面：①拆迁办未申请办理注销业务；②原注销登记标准不完善，登记部门未规范化整理注销业务。</w:t>
      </w:r>
    </w:p>
    <w:p>
      <w:pPr>
        <w:adjustRightInd w:val="0"/>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（3）由于现南昌市本级不动产登记系统存在部分缺陷，导致已转移的房产所对应的个人土地使用权证状态，无法依据不动产登记业务更正为历史。</w:t>
      </w:r>
    </w:p>
    <w:p>
      <w:pPr>
        <w:adjustRightInd w:val="0"/>
        <w:spacing w:line="56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lang w:val="en-US" w:eastAsia="zh-CN"/>
        </w:rPr>
        <w:t>六</w:t>
      </w:r>
      <w:r>
        <w:rPr>
          <w:rFonts w:hint="eastAsia" w:ascii="仿宋" w:hAnsi="仿宋" w:eastAsia="仿宋" w:cs="仿宋"/>
          <w:b/>
          <w:bCs/>
          <w:sz w:val="28"/>
          <w:szCs w:val="28"/>
        </w:rPr>
        <w:t>、有关建议</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（1）进一步规范、完善数据库，提升数据质量</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由于数据产生的历史周期长，各阶段的规范与现行规范不一致等历史原因，数据库中还存在部分信息缺失、错误的现象，以及未入库的数据，</w:t>
      </w:r>
      <w:r>
        <w:rPr>
          <w:rFonts w:hint="eastAsia" w:ascii="仿宋" w:hAnsi="仿宋" w:eastAsia="仿宋" w:cs="仿宋"/>
          <w:sz w:val="28"/>
          <w:szCs w:val="28"/>
          <w:lang w:eastAsia="zh-CN"/>
        </w:rPr>
        <w:t>该单位</w:t>
      </w:r>
      <w:r>
        <w:rPr>
          <w:rFonts w:hint="eastAsia" w:ascii="仿宋" w:hAnsi="仿宋" w:eastAsia="仿宋" w:cs="仿宋"/>
          <w:sz w:val="28"/>
          <w:szCs w:val="28"/>
        </w:rPr>
        <w:t>需进一步规范、完善数据库，保障登记数据质量。</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（2）进一步规范数据审核更正流程</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不动产登记以来，已逐步完善数据审核更正流程，但是由于历史问题数据类型多，时效性要求高，部分数据更正流程不是很完整，建议</w:t>
      </w:r>
      <w:r>
        <w:rPr>
          <w:rFonts w:hint="eastAsia" w:ascii="仿宋" w:hAnsi="仿宋" w:eastAsia="仿宋" w:cs="仿宋"/>
          <w:sz w:val="28"/>
          <w:szCs w:val="28"/>
          <w:lang w:eastAsia="zh-CN"/>
        </w:rPr>
        <w:t>该单位</w:t>
      </w:r>
      <w:r>
        <w:rPr>
          <w:rFonts w:hint="eastAsia" w:ascii="仿宋" w:hAnsi="仿宋" w:eastAsia="仿宋" w:cs="仿宋"/>
          <w:sz w:val="28"/>
          <w:szCs w:val="28"/>
        </w:rPr>
        <w:t>在平台添加功能，实现在线审核功能，确保所有数据变更操作有迹可循。</w:t>
      </w:r>
    </w:p>
    <w:bookmarkEnd w:id="1"/>
    <w:p>
      <w:pPr>
        <w:numPr>
          <w:ilvl w:val="0"/>
          <w:numId w:val="13"/>
        </w:numPr>
        <w:adjustRightInd w:val="0"/>
        <w:spacing w:line="560" w:lineRule="exact"/>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其他需要说明的问题</w:t>
      </w:r>
    </w:p>
    <w:p>
      <w:pPr>
        <w:numPr>
          <w:ilvl w:val="0"/>
          <w:numId w:val="0"/>
        </w:numPr>
        <w:adjustRightIn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无</w:t>
      </w:r>
    </w:p>
    <w:sectPr>
      <w:headerReference r:id="rId3" w:type="default"/>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文本框 4" o:spid="_x0000_s4097" o:spt="202" type="#_x0000_t202" style="position:absolute;left:0pt;margin-top:0pt;height:144pt;width:144pt;mso-position-horizontal:center;mso-position-horizontal-relative:margin;mso-wrap-style:none;z-index:25166540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B551B6"/>
    <w:multiLevelType w:val="singleLevel"/>
    <w:tmpl w:val="A4B551B6"/>
    <w:lvl w:ilvl="0" w:tentative="0">
      <w:start w:val="3"/>
      <w:numFmt w:val="chineseCounting"/>
      <w:lvlText w:val="(%1)"/>
      <w:lvlJc w:val="left"/>
      <w:pPr>
        <w:tabs>
          <w:tab w:val="left" w:pos="312"/>
        </w:tabs>
      </w:pPr>
      <w:rPr>
        <w:rFonts w:hint="eastAsia"/>
      </w:rPr>
    </w:lvl>
  </w:abstractNum>
  <w:abstractNum w:abstractNumId="1">
    <w:nsid w:val="FDD500BD"/>
    <w:multiLevelType w:val="singleLevel"/>
    <w:tmpl w:val="FDD500BD"/>
    <w:lvl w:ilvl="0" w:tentative="0">
      <w:start w:val="1"/>
      <w:numFmt w:val="decimal"/>
      <w:suff w:val="nothing"/>
      <w:lvlText w:val="%1、"/>
      <w:lvlJc w:val="left"/>
    </w:lvl>
  </w:abstractNum>
  <w:abstractNum w:abstractNumId="2">
    <w:nsid w:val="120B68FE"/>
    <w:multiLevelType w:val="singleLevel"/>
    <w:tmpl w:val="120B68FE"/>
    <w:lvl w:ilvl="0" w:tentative="0">
      <w:start w:val="1"/>
      <w:numFmt w:val="decimal"/>
      <w:lvlText w:val="(%1)"/>
      <w:lvlJc w:val="left"/>
      <w:pPr>
        <w:tabs>
          <w:tab w:val="left" w:pos="312"/>
        </w:tabs>
      </w:pPr>
    </w:lvl>
  </w:abstractNum>
  <w:abstractNum w:abstractNumId="3">
    <w:nsid w:val="502D7CD7"/>
    <w:multiLevelType w:val="singleLevel"/>
    <w:tmpl w:val="502D7CD7"/>
    <w:lvl w:ilvl="0" w:tentative="0">
      <w:start w:val="7"/>
      <w:numFmt w:val="chineseCounting"/>
      <w:suff w:val="nothing"/>
      <w:lvlText w:val="%1、"/>
      <w:lvlJc w:val="left"/>
      <w:rPr>
        <w:rFonts w:hint="eastAsia"/>
      </w:rPr>
    </w:lvl>
  </w:abstractNum>
  <w:abstractNum w:abstractNumId="4">
    <w:nsid w:val="5E816BB5"/>
    <w:multiLevelType w:val="singleLevel"/>
    <w:tmpl w:val="5E816BB5"/>
    <w:lvl w:ilvl="0" w:tentative="0">
      <w:start w:val="1"/>
      <w:numFmt w:val="chineseCounting"/>
      <w:suff w:val="nothing"/>
      <w:lvlText w:val="%1、"/>
      <w:lvlJc w:val="left"/>
    </w:lvl>
  </w:abstractNum>
  <w:abstractNum w:abstractNumId="5">
    <w:nsid w:val="5E816BDE"/>
    <w:multiLevelType w:val="singleLevel"/>
    <w:tmpl w:val="5E816BDE"/>
    <w:lvl w:ilvl="0" w:tentative="0">
      <w:start w:val="1"/>
      <w:numFmt w:val="chineseCounting"/>
      <w:suff w:val="nothing"/>
      <w:lvlText w:val="（%1）"/>
      <w:lvlJc w:val="left"/>
    </w:lvl>
  </w:abstractNum>
  <w:abstractNum w:abstractNumId="6">
    <w:nsid w:val="5E816BFB"/>
    <w:multiLevelType w:val="singleLevel"/>
    <w:tmpl w:val="5E816BFB"/>
    <w:lvl w:ilvl="0" w:tentative="0">
      <w:start w:val="1"/>
      <w:numFmt w:val="decimal"/>
      <w:suff w:val="nothing"/>
      <w:lvlText w:val="%1、"/>
      <w:lvlJc w:val="left"/>
    </w:lvl>
  </w:abstractNum>
  <w:abstractNum w:abstractNumId="7">
    <w:nsid w:val="5E816C30"/>
    <w:multiLevelType w:val="singleLevel"/>
    <w:tmpl w:val="5E816C30"/>
    <w:lvl w:ilvl="0" w:tentative="0">
      <w:start w:val="1"/>
      <w:numFmt w:val="decimal"/>
      <w:suff w:val="nothing"/>
      <w:lvlText w:val="%1、"/>
      <w:lvlJc w:val="left"/>
    </w:lvl>
  </w:abstractNum>
  <w:abstractNum w:abstractNumId="8">
    <w:nsid w:val="5E8187A3"/>
    <w:multiLevelType w:val="singleLevel"/>
    <w:tmpl w:val="5E8187A3"/>
    <w:lvl w:ilvl="0" w:tentative="0">
      <w:start w:val="1"/>
      <w:numFmt w:val="decimal"/>
      <w:suff w:val="nothing"/>
      <w:lvlText w:val="（%1）"/>
      <w:lvlJc w:val="left"/>
    </w:lvl>
  </w:abstractNum>
  <w:abstractNum w:abstractNumId="9">
    <w:nsid w:val="5E8192DE"/>
    <w:multiLevelType w:val="singleLevel"/>
    <w:tmpl w:val="5E8192DE"/>
    <w:lvl w:ilvl="0" w:tentative="0">
      <w:start w:val="1"/>
      <w:numFmt w:val="decimal"/>
      <w:suff w:val="nothing"/>
      <w:lvlText w:val="（%1）"/>
      <w:lvlJc w:val="left"/>
    </w:lvl>
  </w:abstractNum>
  <w:abstractNum w:abstractNumId="10">
    <w:nsid w:val="5E81A8AA"/>
    <w:multiLevelType w:val="singleLevel"/>
    <w:tmpl w:val="5E81A8AA"/>
    <w:lvl w:ilvl="0" w:tentative="0">
      <w:start w:val="1"/>
      <w:numFmt w:val="decimal"/>
      <w:suff w:val="nothing"/>
      <w:lvlText w:val="（%1）"/>
      <w:lvlJc w:val="left"/>
    </w:lvl>
  </w:abstractNum>
  <w:abstractNum w:abstractNumId="11">
    <w:nsid w:val="5E81ADC0"/>
    <w:multiLevelType w:val="singleLevel"/>
    <w:tmpl w:val="5E81ADC0"/>
    <w:lvl w:ilvl="0" w:tentative="0">
      <w:start w:val="1"/>
      <w:numFmt w:val="decimal"/>
      <w:suff w:val="nothing"/>
      <w:lvlText w:val="（%1）"/>
      <w:lvlJc w:val="left"/>
    </w:lvl>
  </w:abstractNum>
  <w:abstractNum w:abstractNumId="12">
    <w:nsid w:val="5E828FB2"/>
    <w:multiLevelType w:val="singleLevel"/>
    <w:tmpl w:val="5E828FB2"/>
    <w:lvl w:ilvl="0" w:tentative="0">
      <w:start w:val="2"/>
      <w:numFmt w:val="chineseCounting"/>
      <w:suff w:val="nothing"/>
      <w:lvlText w:val="%1、"/>
      <w:lvlJc w:val="left"/>
    </w:lvl>
  </w:abstractNum>
  <w:num w:numId="1">
    <w:abstractNumId w:val="4"/>
  </w:num>
  <w:num w:numId="2">
    <w:abstractNumId w:val="5"/>
  </w:num>
  <w:num w:numId="3">
    <w:abstractNumId w:val="6"/>
  </w:num>
  <w:num w:numId="4">
    <w:abstractNumId w:val="8"/>
  </w:num>
  <w:num w:numId="5">
    <w:abstractNumId w:val="9"/>
  </w:num>
  <w:num w:numId="6">
    <w:abstractNumId w:val="7"/>
  </w:num>
  <w:num w:numId="7">
    <w:abstractNumId w:val="10"/>
  </w:num>
  <w:num w:numId="8">
    <w:abstractNumId w:val="12"/>
  </w:num>
  <w:num w:numId="9">
    <w:abstractNumId w:val="0"/>
  </w:num>
  <w:num w:numId="10">
    <w:abstractNumId w:val="1"/>
  </w:num>
  <w:num w:numId="11">
    <w:abstractNumId w:val="2"/>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2FF71EF"/>
    <w:rsid w:val="000506C7"/>
    <w:rsid w:val="00122CBD"/>
    <w:rsid w:val="0022311B"/>
    <w:rsid w:val="00311A34"/>
    <w:rsid w:val="00532F61"/>
    <w:rsid w:val="00653290"/>
    <w:rsid w:val="00700DF0"/>
    <w:rsid w:val="00700FF9"/>
    <w:rsid w:val="008623B3"/>
    <w:rsid w:val="009E687C"/>
    <w:rsid w:val="00A06CA7"/>
    <w:rsid w:val="00A66D6A"/>
    <w:rsid w:val="00CB6119"/>
    <w:rsid w:val="00F96A0D"/>
    <w:rsid w:val="039B4F1E"/>
    <w:rsid w:val="09BD2B29"/>
    <w:rsid w:val="0A5976E1"/>
    <w:rsid w:val="1432657A"/>
    <w:rsid w:val="1CE4618D"/>
    <w:rsid w:val="1F707BC7"/>
    <w:rsid w:val="2E82361A"/>
    <w:rsid w:val="32FF71EF"/>
    <w:rsid w:val="36560ACC"/>
    <w:rsid w:val="37535C53"/>
    <w:rsid w:val="37691FF5"/>
    <w:rsid w:val="3A0E5ACB"/>
    <w:rsid w:val="3AFA69CE"/>
    <w:rsid w:val="3F4E355C"/>
    <w:rsid w:val="3FA5263B"/>
    <w:rsid w:val="4A4D60B4"/>
    <w:rsid w:val="4FC21A6F"/>
    <w:rsid w:val="55257F3D"/>
    <w:rsid w:val="5BE239E0"/>
    <w:rsid w:val="65D91F79"/>
    <w:rsid w:val="6E3147D9"/>
    <w:rsid w:val="7052570D"/>
    <w:rsid w:val="73D4559A"/>
    <w:rsid w:val="73D63154"/>
    <w:rsid w:val="7C6D72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Lines="50" w:line="480" w:lineRule="auto"/>
      <w:outlineLvl w:val="0"/>
    </w:pPr>
    <w:rPr>
      <w:rFonts w:ascii="仿宋_GB2312" w:hAnsi="仿宋_GB2312" w:eastAsia="仿宋_GB2312" w:cs="Times New Roman"/>
      <w:b/>
      <w:kern w:val="44"/>
      <w:sz w:val="44"/>
      <w:szCs w:val="32"/>
    </w:rPr>
  </w:style>
  <w:style w:type="paragraph" w:styleId="3">
    <w:name w:val="heading 2"/>
    <w:basedOn w:val="1"/>
    <w:next w:val="1"/>
    <w:unhideWhenUsed/>
    <w:qFormat/>
    <w:uiPriority w:val="0"/>
    <w:pPr>
      <w:keepNext/>
      <w:keepLines/>
      <w:spacing w:beforeLines="50" w:line="360" w:lineRule="auto"/>
      <w:outlineLvl w:val="1"/>
    </w:pPr>
    <w:rPr>
      <w:rFonts w:ascii="仿宋_GB2312" w:hAnsi="仿宋_GB2312" w:eastAsia="仿宋_GB2312" w:cs="Times New Roman"/>
      <w:b/>
      <w:sz w:val="36"/>
      <w:szCs w:val="30"/>
    </w:rPr>
  </w:style>
  <w:style w:type="paragraph" w:styleId="4">
    <w:name w:val="heading 3"/>
    <w:basedOn w:val="1"/>
    <w:next w:val="1"/>
    <w:unhideWhenUsed/>
    <w:qFormat/>
    <w:uiPriority w:val="0"/>
    <w:pPr>
      <w:keepNext/>
      <w:keepLines/>
      <w:spacing w:beforeLines="50" w:line="360" w:lineRule="auto"/>
      <w:outlineLvl w:val="2"/>
    </w:pPr>
    <w:rPr>
      <w:rFonts w:ascii="仿宋_GB2312" w:hAnsi="仿宋_GB2312" w:eastAsia="仿宋_GB2312" w:cs="Times New Roman"/>
      <w:b/>
      <w:bCs/>
      <w:sz w:val="32"/>
      <w:szCs w:val="32"/>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qFormat/>
    <w:uiPriority w:val="0"/>
    <w:pPr>
      <w:ind w:left="2520" w:leftChars="1200"/>
    </w:pPr>
  </w:style>
  <w:style w:type="paragraph" w:styleId="6">
    <w:name w:val="toc 5"/>
    <w:basedOn w:val="1"/>
    <w:next w:val="1"/>
    <w:qFormat/>
    <w:uiPriority w:val="0"/>
    <w:pPr>
      <w:ind w:left="1680" w:leftChars="800"/>
    </w:pPr>
  </w:style>
  <w:style w:type="paragraph" w:styleId="7">
    <w:name w:val="toc 3"/>
    <w:basedOn w:val="1"/>
    <w:next w:val="1"/>
    <w:qFormat/>
    <w:uiPriority w:val="0"/>
    <w:pPr>
      <w:ind w:left="840" w:leftChars="400"/>
    </w:pPr>
  </w:style>
  <w:style w:type="paragraph" w:styleId="8">
    <w:name w:val="toc 8"/>
    <w:basedOn w:val="1"/>
    <w:next w:val="1"/>
    <w:qFormat/>
    <w:uiPriority w:val="0"/>
    <w:pPr>
      <w:ind w:left="2940" w:leftChars="1400"/>
    </w:p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0"/>
  </w:style>
  <w:style w:type="paragraph" w:styleId="12">
    <w:name w:val="toc 4"/>
    <w:basedOn w:val="1"/>
    <w:next w:val="1"/>
    <w:qFormat/>
    <w:uiPriority w:val="0"/>
    <w:pPr>
      <w:ind w:left="1260" w:leftChars="600"/>
    </w:pPr>
  </w:style>
  <w:style w:type="paragraph" w:styleId="13">
    <w:name w:val="Subtitle"/>
    <w:basedOn w:val="1"/>
    <w:next w:val="1"/>
    <w:qFormat/>
    <w:uiPriority w:val="0"/>
    <w:pPr>
      <w:spacing w:line="312" w:lineRule="auto"/>
      <w:ind w:firstLine="200" w:firstLineChars="200"/>
      <w:jc w:val="left"/>
      <w:outlineLvl w:val="1"/>
    </w:pPr>
    <w:rPr>
      <w:rFonts w:ascii="Cambria" w:hAnsi="Cambria" w:eastAsia="仿宋" w:cs="Times New Roman"/>
      <w:b/>
      <w:bCs/>
      <w:kern w:val="28"/>
      <w:sz w:val="32"/>
      <w:szCs w:val="32"/>
    </w:rPr>
  </w:style>
  <w:style w:type="paragraph" w:styleId="14">
    <w:name w:val="toc 6"/>
    <w:basedOn w:val="1"/>
    <w:next w:val="1"/>
    <w:qFormat/>
    <w:uiPriority w:val="0"/>
    <w:pPr>
      <w:ind w:left="2100" w:leftChars="1000"/>
    </w:pPr>
  </w:style>
  <w:style w:type="paragraph" w:styleId="15">
    <w:name w:val="toc 2"/>
    <w:basedOn w:val="1"/>
    <w:next w:val="1"/>
    <w:qFormat/>
    <w:uiPriority w:val="0"/>
    <w:pPr>
      <w:ind w:left="420" w:leftChars="200"/>
    </w:pPr>
  </w:style>
  <w:style w:type="paragraph" w:styleId="16">
    <w:name w:val="toc 9"/>
    <w:basedOn w:val="1"/>
    <w:next w:val="1"/>
    <w:qFormat/>
    <w:uiPriority w:val="0"/>
    <w:pPr>
      <w:ind w:left="3360" w:leftChars="1600"/>
    </w:pPr>
  </w:style>
  <w:style w:type="paragraph" w:styleId="17">
    <w:name w:val="Title"/>
    <w:basedOn w:val="1"/>
    <w:next w:val="1"/>
    <w:qFormat/>
    <w:uiPriority w:val="0"/>
    <w:pPr>
      <w:spacing w:before="240" w:after="60"/>
      <w:jc w:val="left"/>
      <w:outlineLvl w:val="0"/>
    </w:pPr>
    <w:rPr>
      <w:rFonts w:ascii="Cambria" w:hAnsi="Cambria" w:eastAsia="黑体" w:cs="Times New Roman"/>
      <w:b/>
      <w:bCs/>
      <w:sz w:val="32"/>
      <w:szCs w:val="32"/>
    </w:rPr>
  </w:style>
  <w:style w:type="paragraph" w:customStyle="1" w:styleId="20">
    <w:name w:val="列出段落11"/>
    <w:basedOn w:val="1"/>
    <w:qFormat/>
    <w:uiPriority w:val="99"/>
    <w:pPr>
      <w:spacing w:line="560" w:lineRule="exact"/>
      <w:ind w:firstLine="420" w:firstLineChars="200"/>
    </w:pPr>
    <w:rPr>
      <w:rFonts w:ascii="仿宋_GB2312" w:hAnsi="仿宋_GB2312" w:eastAsia="仿宋_GB2312" w:cs="Times New Roman"/>
      <w:sz w:val="32"/>
      <w:szCs w:val="32"/>
    </w:rPr>
  </w:style>
  <w:style w:type="paragraph" w:customStyle="1" w:styleId="21">
    <w:name w:val="缩进"/>
    <w:basedOn w:val="1"/>
    <w:qFormat/>
    <w:uiPriority w:val="0"/>
    <w:pPr>
      <w:spacing w:line="560" w:lineRule="exact"/>
      <w:ind w:firstLine="200" w:firstLineChars="200"/>
    </w:pPr>
    <w:rPr>
      <w:rFonts w:ascii="仿宋_GB2312" w:hAnsi="仿宋_GB2312" w:eastAsia="仿宋_GB2312" w:cs="Times New Roman"/>
      <w:sz w:val="32"/>
      <w:szCs w:val="32"/>
    </w:rPr>
  </w:style>
  <w:style w:type="paragraph" w:customStyle="1" w:styleId="22">
    <w:name w:val="图"/>
    <w:basedOn w:val="1"/>
    <w:next w:val="1"/>
    <w:qFormat/>
    <w:uiPriority w:val="0"/>
    <w:pPr>
      <w:jc w:val="center"/>
    </w:pPr>
    <w:rPr>
      <w:rFonts w:cs="仿宋_GB231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1032</Words>
  <Characters>5886</Characters>
  <Lines>49</Lines>
  <Paragraphs>13</Paragraphs>
  <TotalTime>0</TotalTime>
  <ScaleCrop>false</ScaleCrop>
  <LinksUpToDate>false</LinksUpToDate>
  <CharactersWithSpaces>6905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2019-04-11T03:32:00Z</dcterms:created>
  <dc:creator>lenove</dc:creator>
  <cp:lastModifiedBy>璐</cp:lastModifiedBy>
  <cp:lastPrinted>2020-04-17T03:42:00Z</cp:lastPrinted>
  <dcterms:modified xsi:type="dcterms:W3CDTF">2020-06-19T02:17:37Z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