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宋体" w:eastAsia="黑体" w:cs="Arial"/>
          <w:bCs/>
          <w:sz w:val="32"/>
          <w:szCs w:val="32"/>
        </w:rPr>
      </w:pPr>
      <w:bookmarkStart w:id="0" w:name="_Toc22609"/>
      <w:bookmarkStart w:id="1" w:name="_Toc510969565"/>
      <w:bookmarkStart w:id="2" w:name="_Toc510968174"/>
      <w:bookmarkStart w:id="3" w:name="_Toc510967945"/>
      <w:bookmarkStart w:id="4" w:name="_Toc510967775"/>
      <w:bookmarkStart w:id="5" w:name="_Toc510967583"/>
      <w:r>
        <w:rPr>
          <w:rFonts w:hint="eastAsia" w:ascii="黑体" w:hAnsi="宋体" w:eastAsia="黑体" w:cs="Arial"/>
          <w:bCs/>
          <w:sz w:val="32"/>
          <w:szCs w:val="32"/>
        </w:rPr>
        <w:t>附件4：</w:t>
      </w:r>
    </w:p>
    <w:p>
      <w:pPr>
        <w:ind w:firstLine="640"/>
        <w:rPr>
          <w:rFonts w:ascii="黑体" w:hAnsi="宋体" w:eastAsia="黑体" w:cs="Arial"/>
          <w:bCs/>
          <w:sz w:val="32"/>
          <w:szCs w:val="32"/>
        </w:rPr>
      </w:pPr>
    </w:p>
    <w:p>
      <w:pPr>
        <w:ind w:firstLine="0" w:firstLineChars="0"/>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不动产登记大楼网络专线经费</w:t>
      </w:r>
    </w:p>
    <w:p>
      <w:pPr>
        <w:ind w:firstLine="0" w:firstLineChars="0"/>
        <w:jc w:val="center"/>
        <w:rPr>
          <w:rFonts w:ascii="黑体" w:hAnsi="宋体" w:eastAsia="黑体" w:cs="Arial"/>
          <w:bCs/>
          <w:sz w:val="32"/>
          <w:szCs w:val="32"/>
        </w:rPr>
      </w:pPr>
      <w:r>
        <w:rPr>
          <w:rFonts w:hint="eastAsia" w:ascii="方正小标宋简体" w:hAnsi="宋体" w:eastAsia="方正小标宋简体" w:cs="Arial"/>
          <w:bCs/>
          <w:sz w:val="44"/>
          <w:szCs w:val="44"/>
        </w:rPr>
        <w:t>项目支出绩效自评报告</w:t>
      </w:r>
    </w:p>
    <w:p>
      <w:pPr>
        <w:ind w:firstLine="640"/>
        <w:rPr>
          <w:rFonts w:ascii="黑体" w:hAnsi="宋体" w:eastAsia="黑体" w:cs="Arial"/>
          <w:bCs/>
          <w:sz w:val="32"/>
          <w:szCs w:val="32"/>
        </w:rPr>
      </w:pPr>
    </w:p>
    <w:p>
      <w:pPr>
        <w:spacing w:line="600" w:lineRule="exact"/>
        <w:ind w:firstLine="0" w:firstLineChars="0"/>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不动产登记大楼网络专线经费项目            </w:t>
      </w:r>
    </w:p>
    <w:p>
      <w:pPr>
        <w:spacing w:line="600" w:lineRule="exact"/>
        <w:ind w:firstLine="640"/>
        <w:rPr>
          <w:rFonts w:ascii="黑体" w:hAnsi="宋体" w:eastAsia="黑体" w:cs="Arial"/>
          <w:bCs/>
          <w:sz w:val="32"/>
          <w:szCs w:val="32"/>
        </w:rPr>
      </w:pPr>
    </w:p>
    <w:p>
      <w:pPr>
        <w:spacing w:line="600" w:lineRule="exact"/>
        <w:ind w:firstLine="0" w:firstLineChars="0"/>
        <w:rPr>
          <w:rFonts w:ascii="黑体" w:hAnsi="宋体" w:eastAsia="黑体" w:cs="Arial"/>
          <w:bCs/>
          <w:sz w:val="32"/>
          <w:szCs w:val="32"/>
          <w:u w:val="single"/>
        </w:rPr>
      </w:pPr>
      <w:r>
        <w:rPr>
          <w:rFonts w:hint="eastAsia" w:ascii="黑体" w:hAnsi="宋体" w:eastAsia="黑体" w:cs="Arial"/>
          <w:bCs/>
          <w:sz w:val="32"/>
          <w:szCs w:val="32"/>
        </w:rPr>
        <w:t>项目类别：</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其他类                                     </w:t>
      </w:r>
    </w:p>
    <w:p>
      <w:pPr>
        <w:spacing w:line="600" w:lineRule="exact"/>
        <w:ind w:firstLine="640"/>
        <w:rPr>
          <w:rFonts w:ascii="黑体" w:hAnsi="宋体" w:eastAsia="黑体" w:cs="Arial"/>
          <w:bCs/>
          <w:sz w:val="32"/>
          <w:szCs w:val="32"/>
        </w:rPr>
      </w:pPr>
    </w:p>
    <w:p>
      <w:pPr>
        <w:spacing w:line="600" w:lineRule="exact"/>
        <w:ind w:firstLine="0" w:firstLineChars="0"/>
        <w:rPr>
          <w:rFonts w:ascii="黑体" w:hAnsi="宋体" w:eastAsia="黑体" w:cs="Arial"/>
          <w:bCs/>
          <w:sz w:val="32"/>
          <w:szCs w:val="32"/>
          <w:u w:val="single"/>
        </w:rPr>
      </w:pPr>
      <w:r>
        <w:rPr>
          <w:rFonts w:hint="eastAsia" w:ascii="黑体" w:hAnsi="宋体" w:eastAsia="黑体" w:cs="Arial"/>
          <w:bCs/>
          <w:sz w:val="32"/>
          <w:szCs w:val="32"/>
        </w:rPr>
        <w:t>实施单位：</w:t>
      </w:r>
      <w:r>
        <w:rPr>
          <w:rFonts w:hint="eastAsia" w:ascii="黑体" w:hAnsi="宋体" w:eastAsia="黑体" w:cs="Arial"/>
          <w:bCs/>
          <w:sz w:val="32"/>
          <w:szCs w:val="32"/>
          <w:u w:val="single"/>
        </w:rPr>
        <w:t xml:space="preserve">        南昌市国土资源档案信息中心              </w:t>
      </w:r>
    </w:p>
    <w:p>
      <w:pPr>
        <w:spacing w:line="600" w:lineRule="exact"/>
        <w:ind w:firstLine="64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主管部门：</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南昌市自然资源局     （盖章）               </w:t>
      </w:r>
    </w:p>
    <w:p>
      <w:pPr>
        <w:spacing w:line="600" w:lineRule="exact"/>
        <w:ind w:firstLine="64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（盖章）                                 </w:t>
      </w:r>
    </w:p>
    <w:p>
      <w:pPr>
        <w:spacing w:line="600" w:lineRule="exact"/>
        <w:ind w:firstLine="64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2019年                                    </w:t>
      </w:r>
    </w:p>
    <w:p>
      <w:pPr>
        <w:ind w:firstLine="640"/>
        <w:rPr>
          <w:rFonts w:ascii="黑体" w:hAnsi="宋体" w:eastAsia="黑体" w:cs="Arial"/>
          <w:bCs/>
          <w:sz w:val="32"/>
          <w:szCs w:val="32"/>
        </w:rPr>
      </w:pPr>
    </w:p>
    <w:p>
      <w:pPr>
        <w:ind w:firstLine="640"/>
        <w:jc w:val="center"/>
        <w:rPr>
          <w:rFonts w:ascii="黑体" w:hAnsi="宋体" w:eastAsia="黑体" w:cs="Arial"/>
          <w:bCs/>
          <w:sz w:val="32"/>
          <w:szCs w:val="32"/>
        </w:rPr>
      </w:pPr>
    </w:p>
    <w:p>
      <w:pPr>
        <w:ind w:firstLine="640"/>
        <w:jc w:val="center"/>
        <w:rPr>
          <w:rFonts w:ascii="黑体" w:hAnsi="宋体" w:eastAsia="黑体" w:cs="Arial"/>
          <w:bCs/>
          <w:sz w:val="32"/>
          <w:szCs w:val="32"/>
        </w:rPr>
      </w:pPr>
    </w:p>
    <w:p>
      <w:pPr>
        <w:ind w:firstLine="640"/>
        <w:jc w:val="center"/>
        <w:rPr>
          <w:rFonts w:ascii="黑体" w:hAnsi="宋体" w:eastAsia="黑体" w:cs="Arial"/>
          <w:bCs/>
          <w:sz w:val="32"/>
          <w:szCs w:val="32"/>
        </w:rPr>
      </w:pPr>
      <w:r>
        <w:rPr>
          <w:rFonts w:hint="eastAsia" w:ascii="黑体" w:hAnsi="宋体" w:eastAsia="黑体" w:cs="Arial"/>
          <w:bCs/>
          <w:sz w:val="32"/>
          <w:szCs w:val="32"/>
        </w:rPr>
        <w:t>2020年 4 月13日</w:t>
      </w:r>
    </w:p>
    <w:p>
      <w:pPr>
        <w:ind w:firstLine="640"/>
        <w:jc w:val="center"/>
        <w:rPr>
          <w:rFonts w:ascii="黑体" w:hAnsi="宋体" w:eastAsia="黑体" w:cs="Arial"/>
          <w:bCs/>
          <w:sz w:val="32"/>
          <w:szCs w:val="32"/>
        </w:rPr>
      </w:pPr>
    </w:p>
    <w:p>
      <w:pPr>
        <w:pStyle w:val="2"/>
        <w:rPr>
          <w:rFonts w:ascii="仿宋" w:hAnsi="仿宋" w:eastAsia="仿宋" w:cs="仿宋"/>
        </w:rPr>
      </w:pPr>
    </w:p>
    <w:p>
      <w:pPr>
        <w:pStyle w:val="2"/>
        <w:rPr>
          <w:rFonts w:ascii="仿宋" w:hAnsi="仿宋" w:eastAsia="仿宋" w:cs="仿宋"/>
        </w:rPr>
      </w:pPr>
      <w:r>
        <w:rPr>
          <w:rFonts w:hint="eastAsia" w:ascii="仿宋" w:hAnsi="仿宋" w:eastAsia="仿宋" w:cs="仿宋"/>
        </w:rPr>
        <w:t>2019年度</w:t>
      </w:r>
      <w:bookmarkEnd w:id="0"/>
      <w:bookmarkStart w:id="6" w:name="_Toc12571"/>
      <w:r>
        <w:rPr>
          <w:rFonts w:hint="eastAsia" w:ascii="仿宋" w:hAnsi="仿宋" w:eastAsia="仿宋" w:cs="仿宋"/>
        </w:rPr>
        <w:t>不动产登记大楼网络专线经费项目绩效自评报告</w:t>
      </w:r>
      <w:bookmarkEnd w:id="1"/>
      <w:bookmarkEnd w:id="2"/>
      <w:bookmarkEnd w:id="3"/>
      <w:bookmarkEnd w:id="4"/>
      <w:bookmarkEnd w:id="5"/>
      <w:bookmarkEnd w:id="6"/>
    </w:p>
    <w:p>
      <w:pPr>
        <w:ind w:firstLine="0" w:firstLineChars="0"/>
        <w:rPr>
          <w:rFonts w:ascii="仿宋" w:hAnsi="仿宋" w:cs="仿宋"/>
        </w:rPr>
      </w:pPr>
    </w:p>
    <w:p>
      <w:pPr>
        <w:widowControl/>
        <w:spacing w:before="156" w:after="156" w:line="540" w:lineRule="atLeast"/>
        <w:jc w:val="left"/>
        <w:rPr>
          <w:rFonts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rPr>
          <w:rFonts w:ascii="仿宋" w:hAnsi="仿宋"/>
          <w:szCs w:val="28"/>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2018年度市级部门财政项目支出绩效评价工作的通知》（洪财办[2020]10号）等文件的要求，对2019年度不动产登记大楼网络专线经费项目开展绩效自评工作。现将评价情况报告如下：</w:t>
      </w:r>
    </w:p>
    <w:p>
      <w:pPr>
        <w:pStyle w:val="3"/>
        <w:spacing w:before="156" w:after="156"/>
      </w:pPr>
      <w:bookmarkStart w:id="7" w:name="_Toc510969567"/>
      <w:r>
        <w:rPr>
          <w:rFonts w:hint="eastAsia"/>
        </w:rPr>
        <w:t>一、项目基本情况</w:t>
      </w:r>
      <w:bookmarkEnd w:id="7"/>
    </w:p>
    <w:p>
      <w:pPr>
        <w:pStyle w:val="4"/>
        <w:ind w:firstLine="0" w:firstLineChars="0"/>
      </w:pPr>
      <w:bookmarkStart w:id="8" w:name="_Toc510969568"/>
      <w:r>
        <w:rPr>
          <w:rFonts w:hint="eastAsia"/>
        </w:rPr>
        <w:t>（一）项目概况</w:t>
      </w:r>
      <w:bookmarkEnd w:id="8"/>
    </w:p>
    <w:p>
      <w:pPr>
        <w:ind w:firstLine="562"/>
        <w:rPr>
          <w:b/>
        </w:rPr>
      </w:pPr>
      <w:r>
        <w:rPr>
          <w:rFonts w:hint="eastAsia"/>
          <w:b/>
        </w:rPr>
        <w:t>1、立项背景</w:t>
      </w:r>
    </w:p>
    <w:p>
      <w:pPr>
        <w:tabs>
          <w:tab w:val="left" w:pos="4065"/>
        </w:tabs>
        <w:spacing w:line="180" w:lineRule="auto"/>
        <w:rPr>
          <w:b/>
          <w:szCs w:val="28"/>
        </w:rPr>
      </w:pPr>
      <w:r>
        <w:rPr>
          <w:rFonts w:hint="eastAsia" w:ascii="仿宋" w:hAnsi="仿宋" w:cs="宋体"/>
          <w:bCs/>
          <w:color w:val="000000" w:themeColor="text1"/>
          <w:kern w:val="0"/>
          <w:szCs w:val="28"/>
        </w:rPr>
        <w:t>该项目性质为延续项目。根据</w:t>
      </w:r>
      <w:r>
        <w:rPr>
          <w:rFonts w:hint="eastAsia" w:ascii="仿宋" w:hAnsi="仿宋" w:cs="仿宋"/>
          <w:szCs w:val="28"/>
        </w:rPr>
        <w:t>《关于将不动产登记大楼网络专线费用列入我局档案信息中心部门预算的申请》（洪国土资函〔2019〕148号）、南昌市财政局便函（洪财综便函〔2019〕42号）、《关于请求批准不动产登记大楼网络专线费用的请示》（洪国土资文〔2019〕89号）、南昌市人民政府办公厅抄告单（洪府厅抄字〔2019〕246号），</w:t>
      </w:r>
      <w:r>
        <w:rPr>
          <w:rFonts w:hint="eastAsia"/>
          <w:szCs w:val="28"/>
        </w:rPr>
        <w:t>对</w:t>
      </w:r>
      <w:r>
        <w:rPr>
          <w:rFonts w:hint="eastAsia" w:ascii="仿宋" w:hAnsi="仿宋" w:cs="仿宋"/>
          <w:szCs w:val="28"/>
        </w:rPr>
        <w:t>2019年度不动产登记大楼网络专线经费项目</w:t>
      </w:r>
      <w:r>
        <w:rPr>
          <w:rFonts w:hint="eastAsia"/>
          <w:szCs w:val="28"/>
        </w:rPr>
        <w:t>按规定纳入政府集中采购，所需经费在财政预算安排的自然资源专项资金中列支。</w:t>
      </w:r>
    </w:p>
    <w:p>
      <w:pPr>
        <w:pStyle w:val="4"/>
        <w:numPr>
          <w:ilvl w:val="0"/>
          <w:numId w:val="1"/>
        </w:numPr>
        <w:ind w:firstLine="562"/>
      </w:pPr>
      <w:r>
        <w:rPr>
          <w:rFonts w:hint="eastAsia"/>
        </w:rPr>
        <w:t>立项目的</w:t>
      </w:r>
    </w:p>
    <w:p>
      <w:pPr>
        <w:pStyle w:val="5"/>
        <w:ind w:left="0" w:leftChars="0"/>
      </w:pPr>
      <w:r>
        <w:rPr>
          <w:rFonts w:hint="eastAsia"/>
        </w:rPr>
        <w:t>通过采购不动产登记大楼网络专线，保障我局办公网络正常，日常工作不受影响。</w:t>
      </w:r>
    </w:p>
    <w:p>
      <w:pPr>
        <w:pStyle w:val="4"/>
        <w:numPr>
          <w:ilvl w:val="0"/>
          <w:numId w:val="1"/>
        </w:numPr>
        <w:ind w:firstLine="562"/>
      </w:pPr>
      <w:r>
        <w:rPr>
          <w:rFonts w:hint="eastAsia"/>
        </w:rPr>
        <w:t>项目内容、执行标准和实施期限</w:t>
      </w:r>
    </w:p>
    <w:p>
      <w:pPr>
        <w:numPr>
          <w:ilvl w:val="0"/>
          <w:numId w:val="2"/>
        </w:numPr>
      </w:pPr>
      <w:r>
        <w:rPr>
          <w:rFonts w:hint="eastAsia"/>
        </w:rPr>
        <w:t>项目内容</w:t>
      </w:r>
    </w:p>
    <w:p>
      <w:r>
        <w:rPr>
          <w:rFonts w:hint="eastAsia"/>
        </w:rPr>
        <w:t>根据不动产登记大楼网络实际需要，通过政府采购平台，采购不动产登记大楼基础互联网专线、移动OA办公系统网络专线。</w:t>
      </w:r>
    </w:p>
    <w:p>
      <w:pPr>
        <w:numPr>
          <w:ilvl w:val="0"/>
          <w:numId w:val="2"/>
        </w:numPr>
      </w:pPr>
      <w:r>
        <w:rPr>
          <w:rFonts w:hint="eastAsia"/>
        </w:rPr>
        <w:t>执行标准</w:t>
      </w:r>
    </w:p>
    <w:p>
      <w:r>
        <w:rPr>
          <w:rFonts w:hint="eastAsia"/>
        </w:rPr>
        <w:t>不动产登记大楼基础互联网专线：政府采购金额控制在6万元/年以内</w:t>
      </w:r>
    </w:p>
    <w:p>
      <w:r>
        <w:rPr>
          <w:rFonts w:hint="eastAsia"/>
        </w:rPr>
        <w:t>移动OA办公系统网络专线：政府采购金额控制在15.6万元/年以内</w:t>
      </w:r>
    </w:p>
    <w:p>
      <w:pPr>
        <w:numPr>
          <w:ilvl w:val="0"/>
          <w:numId w:val="2"/>
        </w:numPr>
      </w:pPr>
      <w:r>
        <w:rPr>
          <w:rFonts w:hint="eastAsia"/>
        </w:rPr>
        <w:t>实施期限</w:t>
      </w:r>
    </w:p>
    <w:p>
      <w:r>
        <w:rPr>
          <w:rFonts w:hint="eastAsia"/>
        </w:rPr>
        <w:t>项目计划完成期限：2018年8月前完成政府采购并投入使用</w:t>
      </w:r>
    </w:p>
    <w:p>
      <w:r>
        <w:rPr>
          <w:rFonts w:hint="eastAsia"/>
        </w:rPr>
        <w:t>项目实际完成期限：2018年7月完成政府采购并投入使用</w:t>
      </w:r>
    </w:p>
    <w:p>
      <w:pPr>
        <w:pStyle w:val="4"/>
        <w:numPr>
          <w:ilvl w:val="0"/>
          <w:numId w:val="1"/>
        </w:numPr>
        <w:ind w:firstLine="562"/>
      </w:pPr>
      <w:r>
        <w:rPr>
          <w:rFonts w:hint="eastAsia"/>
        </w:rPr>
        <w:t>资金使用情况</w:t>
      </w:r>
    </w:p>
    <w:p>
      <w:r>
        <w:rPr>
          <w:rFonts w:hint="eastAsia"/>
        </w:rPr>
        <w:t>本项目2019年预算安排为21.4936万元（资金全部来源于财政拨款），实际到位21.4936万元，实际支出21.4936万元，其中，移动OA政务办公系统网络专线5.952万元、不动产登记大楼网络专线15.5416万元，结余结转金额0万元。</w:t>
      </w:r>
    </w:p>
    <w:p>
      <w:pPr>
        <w:pStyle w:val="4"/>
        <w:numPr>
          <w:ilvl w:val="0"/>
          <w:numId w:val="1"/>
        </w:numPr>
        <w:ind w:firstLine="562"/>
      </w:pPr>
      <w:r>
        <w:rPr>
          <w:rFonts w:hint="eastAsia"/>
        </w:rPr>
        <w:t>项目组织管理情况</w:t>
      </w:r>
    </w:p>
    <w:p>
      <w:pPr>
        <w:numPr>
          <w:ilvl w:val="0"/>
          <w:numId w:val="3"/>
        </w:numPr>
      </w:pPr>
      <w:r>
        <w:rPr>
          <w:rFonts w:hint="eastAsia"/>
        </w:rPr>
        <w:t>管理机构建立情况：成立临时采购小组执行设备采购；信息</w:t>
      </w:r>
      <w:r>
        <w:rPr>
          <w:rFonts w:hint="eastAsia"/>
          <w:lang w:val="en-US" w:eastAsia="zh-CN"/>
        </w:rPr>
        <w:t>技术</w:t>
      </w:r>
      <w:r>
        <w:rPr>
          <w:rFonts w:hint="eastAsia"/>
        </w:rPr>
        <w:t>科负责项目具体业务。</w:t>
      </w:r>
    </w:p>
    <w:p>
      <w:pPr>
        <w:widowControl/>
        <w:numPr>
          <w:ilvl w:val="0"/>
          <w:numId w:val="3"/>
        </w:numPr>
        <w:jc w:val="left"/>
      </w:pPr>
      <w:r>
        <w:rPr>
          <w:rFonts w:hint="eastAsia"/>
        </w:rPr>
        <w:t>内部控制建立情况:单位制定了《档案信息中心经费开支管理规定》、《档案信息中心资产管理制度》、《档案信息中心政府采购</w:t>
      </w:r>
      <w:r>
        <w:rPr>
          <w:rFonts w:hint="eastAsia"/>
          <w:lang w:val="en-US" w:eastAsia="zh-CN"/>
        </w:rPr>
        <w:t>暂</w:t>
      </w:r>
      <w:r>
        <w:rPr>
          <w:rFonts w:hint="eastAsia"/>
        </w:rPr>
        <w:t>行管理制度》等相应规章制度;</w:t>
      </w:r>
      <w:r>
        <w:rPr>
          <w:rFonts w:hint="eastAsia"/>
        </w:rPr>
        <w:br w:type="textWrapping"/>
      </w:r>
      <w:r>
        <w:rPr>
          <w:rFonts w:hint="eastAsia"/>
        </w:rPr>
        <w:t xml:space="preserve">    （3）历次审计(检查/稽查) 存在的问题及整改情况:无。</w:t>
      </w:r>
    </w:p>
    <w:p>
      <w:pPr>
        <w:widowControl/>
        <w:numPr>
          <w:ilvl w:val="0"/>
          <w:numId w:val="4"/>
        </w:numPr>
        <w:ind w:left="562" w:hanging="562" w:hangingChars="200"/>
        <w:jc w:val="left"/>
        <w:rPr>
          <w:rFonts w:ascii="仿宋" w:hAnsi="仿宋" w:cs="仿宋"/>
          <w:b/>
          <w:bCs/>
        </w:rPr>
      </w:pPr>
      <w:r>
        <w:rPr>
          <w:rFonts w:hint="eastAsia" w:ascii="仿宋" w:hAnsi="仿宋" w:cs="仿宋"/>
          <w:b/>
        </w:rPr>
        <w:t>项目绩效目标</w:t>
      </w:r>
      <w:r>
        <w:rPr>
          <w:rFonts w:ascii="宋体" w:hAnsi="宋体" w:eastAsia="宋体" w:cs="宋体"/>
          <w:kern w:val="0"/>
          <w:sz w:val="24"/>
          <w:szCs w:val="24"/>
        </w:rPr>
        <w:br w:type="textWrapping"/>
      </w:r>
      <w:r>
        <w:rPr>
          <w:rFonts w:hint="eastAsia" w:ascii="仿宋" w:hAnsi="仿宋" w:cs="仿宋"/>
          <w:b/>
          <w:bCs/>
        </w:rPr>
        <w:t>1、项目绩效总目标</w:t>
      </w:r>
    </w:p>
    <w:p>
      <w:pPr>
        <w:rPr>
          <w:rFonts w:ascii="仿宋" w:hAnsi="仿宋" w:cs="宋体"/>
          <w:bCs/>
          <w:color w:val="000000" w:themeColor="text1"/>
          <w:kern w:val="0"/>
          <w:sz w:val="30"/>
          <w:szCs w:val="30"/>
        </w:rPr>
      </w:pPr>
      <w:r>
        <w:rPr>
          <w:rFonts w:hint="eastAsia"/>
        </w:rPr>
        <w:t>通过采购不动产登记大楼网络专线，保障我局办公网络正常，日常工作不受影响。</w:t>
      </w:r>
    </w:p>
    <w:p>
      <w:pPr>
        <w:ind w:firstLine="562"/>
        <w:rPr>
          <w:rFonts w:ascii="仿宋" w:hAnsi="仿宋" w:cs="宋体"/>
          <w:bCs/>
          <w:color w:val="000000" w:themeColor="text1"/>
          <w:kern w:val="0"/>
          <w:sz w:val="30"/>
          <w:szCs w:val="30"/>
        </w:rPr>
      </w:pPr>
      <w:r>
        <w:rPr>
          <w:rFonts w:hint="eastAsia" w:ascii="仿宋" w:hAnsi="仿宋" w:cs="仿宋"/>
          <w:b/>
          <w:bCs/>
        </w:rPr>
        <w:t>2、项目年度绩效目标</w:t>
      </w:r>
      <w:r>
        <w:rPr>
          <w:rFonts w:hint="eastAsia"/>
        </w:rPr>
        <w:br w:type="textWrapping"/>
      </w:r>
      <w:r>
        <w:rPr>
          <w:rFonts w:hint="eastAsia"/>
        </w:rPr>
        <w:t>通过采购不动产登记大楼网络专线，保障我局办公网络正常，日常工作不受影响。</w:t>
      </w:r>
    </w:p>
    <w:p>
      <w:pPr>
        <w:ind w:firstLine="562"/>
      </w:pPr>
      <w:r>
        <w:rPr>
          <w:rFonts w:hint="eastAsia" w:ascii="仿宋" w:hAnsi="仿宋" w:cs="仿宋"/>
          <w:b/>
          <w:bCs/>
        </w:rPr>
        <w:t xml:space="preserve">3、项目预期目标完成情况 </w:t>
      </w:r>
    </w:p>
    <w:p>
      <w:pPr>
        <w:rPr>
          <w:rFonts w:hint="eastAsia" w:ascii="宋体" w:hAnsi="宋体" w:eastAsia="宋体" w:cs="宋体"/>
          <w:kern w:val="0"/>
          <w:sz w:val="24"/>
          <w:szCs w:val="24"/>
        </w:rPr>
      </w:pPr>
      <w:r>
        <w:rPr>
          <w:rFonts w:hint="eastAsia"/>
        </w:rPr>
        <w:t>通过采购不动产登记大楼网络专线，保障了我局办公网络正常，日常工作不受影响。</w:t>
      </w:r>
      <w:r>
        <w:rPr>
          <w:rFonts w:ascii="宋体" w:hAnsi="宋体" w:eastAsia="宋体" w:cs="宋体"/>
          <w:kern w:val="0"/>
          <w:sz w:val="24"/>
          <w:szCs w:val="24"/>
        </w:rPr>
        <w:br w:type="textWrapping"/>
      </w:r>
      <w:r>
        <w:rPr>
          <w:rFonts w:hint="eastAsia" w:ascii="仿宋" w:hAnsi="仿宋" w:cs="仿宋"/>
          <w:b/>
          <w:bCs/>
          <w:kern w:val="0"/>
          <w:sz w:val="32"/>
          <w:szCs w:val="32"/>
        </w:rPr>
        <w:t>二、绩效评价工作情况</w:t>
      </w:r>
    </w:p>
    <w:p>
      <w:pPr>
        <w:ind w:firstLine="562"/>
        <w:rPr>
          <w:rFonts w:hint="eastAsia" w:ascii="宋体" w:hAnsi="宋体" w:eastAsia="宋体" w:cs="宋体"/>
          <w:kern w:val="0"/>
          <w:sz w:val="24"/>
          <w:szCs w:val="24"/>
        </w:rPr>
      </w:pPr>
      <w:r>
        <w:rPr>
          <w:rFonts w:hint="eastAsia" w:ascii="仿宋" w:hAnsi="仿宋" w:cs="仿宋"/>
          <w:b/>
          <w:bCs/>
          <w:kern w:val="0"/>
          <w:szCs w:val="28"/>
        </w:rPr>
        <w:t>(一)绩效评价目的</w:t>
      </w:r>
    </w:p>
    <w:p>
      <w:pPr>
        <w:rPr>
          <w:rFonts w:hint="eastAsia" w:ascii="仿宋" w:hAnsi="仿宋" w:cs="仿宋"/>
        </w:rPr>
      </w:pPr>
      <w:r>
        <w:rPr>
          <w:rFonts w:hint="eastAsia" w:ascii="仿宋" w:hAnsi="仿宋" w:cs="仿宋"/>
        </w:rPr>
        <w:t>为深化预算管理改革，进一步加强项目支出的监督，提高财政资金使用效益，根据《中华人民共和国预算法》、《财政支出绩效评价管理暂行办法》和国家有关财务规章制度，结合项目经费支出的具体情况，根据南昌市财政局洪财办[2020]10号文件精神进行项目支出绩效自评工作;此外，本次绩效自评工作还力争实现以下目的:</w:t>
      </w:r>
    </w:p>
    <w:p>
      <w:pPr>
        <w:rPr>
          <w:rFonts w:ascii="仿宋" w:hAnsi="仿宋" w:cs="仿宋"/>
        </w:rPr>
      </w:pPr>
      <w:r>
        <w:rPr>
          <w:rFonts w:hint="eastAsia" w:ascii="仿宋" w:hAnsi="仿宋" w:cs="仿宋"/>
        </w:rPr>
        <w:t>①贯彻落实财政部《财政支出绩效评价管理暂行办法》(财 预</w:t>
      </w:r>
      <w:r>
        <w:rPr>
          <w:rFonts w:hint="eastAsia" w:ascii="仿宋" w:hAnsi="仿宋" w:cs="仿宋"/>
        </w:rPr>
        <w:br w:type="textWrapping"/>
      </w:r>
      <w:r>
        <w:rPr>
          <w:rFonts w:hint="eastAsia" w:ascii="仿宋" w:hAnsi="仿宋" w:cs="仿宋"/>
        </w:rPr>
        <w:t xml:space="preserve">[2011285号)文件精神，按照公共财政管理要求，运用一定的指标体系和评价标准，采取科学、规范的评价方法，采用定性及定量相结合的评价指标，对本项目的投入、过程、产出、效益进行客观公正地评价。 </w:t>
      </w:r>
    </w:p>
    <w:p>
      <w:pPr>
        <w:widowControl/>
        <w:jc w:val="left"/>
        <w:rPr>
          <w:rFonts w:ascii="仿宋" w:hAnsi="仿宋" w:cs="仿宋"/>
        </w:rPr>
      </w:pPr>
      <w:r>
        <w:rPr>
          <w:rFonts w:ascii="仿宋" w:hAnsi="仿宋" w:cs="仿宋"/>
        </w:rPr>
        <w:t>②通过绩效评价为合理分配资金、优化支出提供依据，也为逐步建立预算编制有目标，预算执行有监控，预算完成有评价，评价结果有反馈，反馈结果有应用的绩效评价机制提供决策依据。</w:t>
      </w:r>
    </w:p>
    <w:p>
      <w:pPr>
        <w:widowControl/>
        <w:jc w:val="left"/>
        <w:rPr>
          <w:rFonts w:ascii="仿宋" w:hAnsi="仿宋" w:cs="仿宋"/>
        </w:rPr>
      </w:pPr>
      <w:r>
        <w:rPr>
          <w:rFonts w:ascii="仿宋" w:hAnsi="仿宋" w:cs="仿宋"/>
        </w:rPr>
        <w:t>③通过绩效评价总结前一年度项目实施的经验教训，为进-步加强</w:t>
      </w:r>
    </w:p>
    <w:p>
      <w:pPr>
        <w:widowControl/>
        <w:ind w:firstLine="0" w:firstLineChars="0"/>
        <w:jc w:val="left"/>
        <w:rPr>
          <w:rFonts w:ascii="仿宋" w:hAnsi="仿宋" w:cs="仿宋"/>
        </w:rPr>
      </w:pPr>
      <w:r>
        <w:rPr>
          <w:rFonts w:ascii="仿宋" w:hAnsi="仿宋" w:cs="仿宋"/>
        </w:rPr>
        <w:t>本站项目管理，提高项目建设水平，发挥财政资金效益。</w:t>
      </w:r>
    </w:p>
    <w:p>
      <w:pPr>
        <w:widowControl/>
        <w:ind w:firstLine="0" w:firstLineChars="0"/>
        <w:jc w:val="left"/>
        <w:rPr>
          <w:rFonts w:ascii="仿宋" w:hAnsi="仿宋" w:cs="仿宋"/>
          <w:b/>
          <w:bCs/>
          <w:kern w:val="0"/>
          <w:szCs w:val="28"/>
        </w:rPr>
      </w:pPr>
      <w:r>
        <w:rPr>
          <w:rFonts w:ascii="仿宋" w:hAnsi="仿宋" w:cs="仿宋"/>
          <w:b/>
          <w:bCs/>
          <w:kern w:val="0"/>
          <w:szCs w:val="28"/>
        </w:rPr>
        <w:t>(二)绩效评价原则和依据、评价指标体系、评价方法</w:t>
      </w:r>
    </w:p>
    <w:p>
      <w:pPr>
        <w:ind w:firstLine="562"/>
        <w:rPr>
          <w:rFonts w:ascii="仿宋" w:hAnsi="仿宋" w:cs="仿宋"/>
          <w:b/>
          <w:bCs/>
        </w:rPr>
      </w:pPr>
      <w:r>
        <w:rPr>
          <w:rFonts w:hint="eastAsia" w:ascii="仿宋" w:hAnsi="仿宋" w:cs="仿宋"/>
          <w:b/>
          <w:bCs/>
        </w:rPr>
        <w:t>1、绩效评价原则</w:t>
      </w:r>
    </w:p>
    <w:p>
      <w:pPr>
        <w:rPr>
          <w:rFonts w:ascii="仿宋" w:hAnsi="仿宋" w:cs="仿宋"/>
        </w:rPr>
      </w:pPr>
      <w:r>
        <w:rPr>
          <w:rFonts w:hint="eastAsia" w:ascii="仿宋" w:hAnsi="仿宋" w:cs="仿宋"/>
        </w:rPr>
        <w:t>本次绩效评价，本站遵循科学规范原则、公正公开原则、分级分类</w:t>
      </w:r>
    </w:p>
    <w:p>
      <w:pPr>
        <w:ind w:firstLine="0" w:firstLineChars="0"/>
        <w:rPr>
          <w:rFonts w:ascii="仿宋" w:hAnsi="仿宋" w:cs="仿宋"/>
        </w:rPr>
      </w:pPr>
      <w:r>
        <w:rPr>
          <w:rFonts w:hint="eastAsia" w:ascii="仿宋" w:hAnsi="仿宋" w:cs="仿宋"/>
        </w:rPr>
        <w:t>原则、绩效相关原则。</w:t>
      </w:r>
    </w:p>
    <w:p>
      <w:pPr>
        <w:rPr>
          <w:rFonts w:ascii="仿宋" w:hAnsi="仿宋" w:cs="仿宋"/>
        </w:rPr>
      </w:pPr>
      <w:r>
        <w:rPr>
          <w:rFonts w:hint="eastAsia" w:ascii="仿宋" w:hAnsi="仿宋" w:cs="仿宋"/>
        </w:rPr>
        <w:t>科学规范原则:绩效评价注重财政支出的经济性、效率性和有效性，严格执行规定的程序，采用定量与定性分析相结合的方法。</w:t>
      </w:r>
    </w:p>
    <w:p>
      <w:pPr>
        <w:rPr>
          <w:rFonts w:ascii="仿宋" w:hAnsi="仿宋" w:cs="仿宋"/>
        </w:rPr>
      </w:pPr>
      <w:r>
        <w:rPr>
          <w:rFonts w:hint="eastAsia" w:ascii="仿宋" w:hAnsi="仿宋" w:cs="仿宋"/>
        </w:rPr>
        <w:t>公正公开原则:坚持客观公正，标准统一、资料可靠，依法公开并</w:t>
      </w:r>
    </w:p>
    <w:p>
      <w:pPr>
        <w:ind w:firstLine="0" w:firstLineChars="0"/>
        <w:rPr>
          <w:rFonts w:ascii="仿宋" w:hAnsi="仿宋" w:cs="仿宋"/>
        </w:rPr>
      </w:pPr>
      <w:r>
        <w:rPr>
          <w:rFonts w:hint="eastAsia" w:ascii="仿宋" w:hAnsi="仿宋" w:cs="仿宋"/>
        </w:rPr>
        <w:t>接受监督。</w:t>
      </w:r>
    </w:p>
    <w:p>
      <w:pPr>
        <w:rPr>
          <w:rFonts w:ascii="仿宋" w:hAnsi="仿宋" w:cs="仿宋"/>
        </w:rPr>
      </w:pPr>
      <w:r>
        <w:rPr>
          <w:rFonts w:hint="eastAsia" w:ascii="仿宋" w:hAnsi="仿宋" w:cs="仿宋"/>
        </w:rPr>
        <w:t>分级分类原则:绩效评估由县级财政部门、相关单位根据评价对象的特点分类组织实施。</w:t>
      </w:r>
    </w:p>
    <w:p>
      <w:pPr>
        <w:rPr>
          <w:rFonts w:ascii="仿宋" w:hAnsi="仿宋" w:cs="仿宋"/>
        </w:rPr>
      </w:pPr>
      <w:r>
        <w:rPr>
          <w:rFonts w:hint="eastAsia" w:ascii="仿宋" w:hAnsi="仿宋" w:cs="仿宋"/>
        </w:rPr>
        <w:t>绩效相关原则:绩效评价针对具体支出及其产出绩效进行，评价结果应清晰反映支出与产出绩效之间的紧密对应关系。</w:t>
      </w:r>
    </w:p>
    <w:p>
      <w:pPr>
        <w:ind w:firstLine="562"/>
        <w:rPr>
          <w:rFonts w:ascii="仿宋" w:hAnsi="仿宋" w:cs="仿宋"/>
          <w:b/>
          <w:bCs/>
        </w:rPr>
      </w:pPr>
      <w:r>
        <w:rPr>
          <w:rFonts w:ascii="仿宋" w:hAnsi="仿宋" w:cs="仿宋"/>
          <w:b/>
          <w:bCs/>
        </w:rPr>
        <w:t>2、绩效评价依据</w:t>
      </w:r>
    </w:p>
    <w:p>
      <w:pPr>
        <w:rPr>
          <w:rFonts w:ascii="仿宋" w:hAnsi="仿宋" w:cs="仿宋"/>
        </w:rPr>
      </w:pPr>
      <w:r>
        <w:rPr>
          <w:rFonts w:hint="eastAsia" w:ascii="仿宋" w:hAnsi="仿宋" w:cs="仿宋"/>
        </w:rPr>
        <w:t>（1）</w:t>
      </w:r>
      <w:r>
        <w:rPr>
          <w:rFonts w:ascii="仿宋" w:hAnsi="仿宋" w:cs="仿宋"/>
        </w:rPr>
        <w:t xml:space="preserve"> 财政部《财政支出绩效评价暂行管理办法》 (财预</w:t>
      </w:r>
      <w:r>
        <w:rPr>
          <w:rFonts w:hint="eastAsia" w:ascii="仿宋" w:hAnsi="仿宋" w:cs="仿宋"/>
        </w:rPr>
        <w:t>[</w:t>
      </w:r>
      <w:r>
        <w:rPr>
          <w:rFonts w:ascii="仿宋" w:hAnsi="仿宋" w:cs="仿宋"/>
        </w:rPr>
        <w:t>2011]285</w:t>
      </w:r>
    </w:p>
    <w:p>
      <w:pPr>
        <w:ind w:firstLine="0" w:firstLineChars="0"/>
        <w:rPr>
          <w:rFonts w:ascii="仿宋" w:hAnsi="仿宋" w:cs="仿宋"/>
        </w:rPr>
      </w:pPr>
      <w:r>
        <w:rPr>
          <w:rFonts w:ascii="仿宋" w:hAnsi="仿宋" w:cs="仿宋"/>
        </w:rPr>
        <w:t>号)</w:t>
      </w:r>
    </w:p>
    <w:p>
      <w:pPr>
        <w:rPr>
          <w:rFonts w:ascii="仿宋" w:hAnsi="仿宋" w:cs="仿宋"/>
        </w:rPr>
      </w:pPr>
      <w:r>
        <w:rPr>
          <w:rFonts w:hint="eastAsia" w:ascii="仿宋" w:hAnsi="仿宋" w:cs="仿宋"/>
        </w:rPr>
        <w:t>（2）</w:t>
      </w:r>
      <w:r>
        <w:rPr>
          <w:rFonts w:ascii="仿宋" w:hAnsi="仿宋" w:cs="仿宋"/>
        </w:rPr>
        <w:t>财政</w:t>
      </w:r>
      <w:r>
        <w:rPr>
          <w:rFonts w:hint="eastAsia" w:ascii="仿宋" w:hAnsi="仿宋" w:cs="仿宋"/>
        </w:rPr>
        <w:t>部</w:t>
      </w:r>
      <w:r>
        <w:rPr>
          <w:rFonts w:ascii="仿宋" w:hAnsi="仿宋" w:cs="仿宋"/>
        </w:rPr>
        <w:t>《推进预算绩效管理的指导意见》(财</w:t>
      </w:r>
      <w:r>
        <w:rPr>
          <w:rFonts w:hint="eastAsia" w:ascii="仿宋" w:hAnsi="仿宋" w:cs="仿宋"/>
        </w:rPr>
        <w:t>预[</w:t>
      </w:r>
      <w:r>
        <w:rPr>
          <w:rFonts w:ascii="仿宋" w:hAnsi="仿宋" w:cs="仿宋"/>
        </w:rPr>
        <w:t>2011]</w:t>
      </w:r>
      <w:r>
        <w:rPr>
          <w:rFonts w:hint="eastAsia" w:ascii="仿宋" w:hAnsi="仿宋" w:cs="仿宋"/>
        </w:rPr>
        <w:t>416</w:t>
      </w:r>
      <w:r>
        <w:rPr>
          <w:rFonts w:ascii="仿宋" w:hAnsi="仿宋" w:cs="仿宋"/>
        </w:rPr>
        <w:t>号)</w:t>
      </w:r>
    </w:p>
    <w:p>
      <w:pPr>
        <w:numPr>
          <w:ilvl w:val="0"/>
          <w:numId w:val="3"/>
        </w:numPr>
        <w:rPr>
          <w:rFonts w:ascii="仿宋" w:hAnsi="仿宋" w:cs="仿宋"/>
        </w:rPr>
      </w:pPr>
      <w:r>
        <w:rPr>
          <w:rFonts w:hint="eastAsia" w:ascii="仿宋" w:hAnsi="仿宋" w:cs="仿宋"/>
        </w:rPr>
        <w:t>财政部《预算绩效管理共性指标体系框架》</w:t>
      </w:r>
      <w:r>
        <w:rPr>
          <w:rFonts w:ascii="仿宋" w:hAnsi="仿宋" w:cs="仿宋"/>
        </w:rPr>
        <w:t>(财</w:t>
      </w:r>
      <w:r>
        <w:rPr>
          <w:rFonts w:hint="eastAsia" w:ascii="仿宋" w:hAnsi="仿宋" w:cs="仿宋"/>
        </w:rPr>
        <w:t>预[</w:t>
      </w:r>
      <w:r>
        <w:rPr>
          <w:rFonts w:ascii="仿宋" w:hAnsi="仿宋" w:cs="仿宋"/>
        </w:rPr>
        <w:t>201</w:t>
      </w:r>
      <w:r>
        <w:rPr>
          <w:rFonts w:hint="eastAsia" w:ascii="仿宋" w:hAnsi="仿宋" w:cs="仿宋"/>
        </w:rPr>
        <w:t>3</w:t>
      </w:r>
      <w:r>
        <w:rPr>
          <w:rFonts w:ascii="仿宋" w:hAnsi="仿宋" w:cs="仿宋"/>
        </w:rPr>
        <w:t>]</w:t>
      </w:r>
      <w:r>
        <w:rPr>
          <w:rFonts w:hint="eastAsia" w:ascii="仿宋" w:hAnsi="仿宋" w:cs="仿宋"/>
        </w:rPr>
        <w:t>53</w:t>
      </w:r>
      <w:r>
        <w:rPr>
          <w:rFonts w:ascii="仿宋" w:hAnsi="仿宋" w:cs="仿宋"/>
        </w:rPr>
        <w:t>号)</w:t>
      </w:r>
    </w:p>
    <w:p>
      <w:pPr>
        <w:rPr>
          <w:rFonts w:ascii="仿宋" w:hAnsi="仿宋" w:cs="仿宋"/>
        </w:rPr>
      </w:pPr>
      <w:r>
        <w:rPr>
          <w:rFonts w:hint="eastAsia" w:ascii="仿宋" w:hAnsi="仿宋" w:cs="仿宋"/>
        </w:rPr>
        <w:t>（4）江西省人民政府《关于全面推进预算绩效管理的实施意见》（赣府发[2013]8号）</w:t>
      </w:r>
    </w:p>
    <w:p>
      <w:r>
        <w:rPr>
          <w:rFonts w:hint="eastAsia"/>
        </w:rPr>
        <w:t>（5）南昌市人民政府《关于印发&lt;南昌市财政支出绩效评价管理办法&gt;（试行）的通知》（洪府发[2014]8号）</w:t>
      </w:r>
    </w:p>
    <w:p>
      <w:pPr>
        <w:rPr>
          <w:rFonts w:ascii="仿宋" w:hAnsi="仿宋" w:cs="仿宋"/>
        </w:rPr>
      </w:pPr>
      <w:r>
        <w:rPr>
          <w:rFonts w:hint="eastAsia"/>
        </w:rPr>
        <w:t>（6）南昌市财政局《关于开展2019年度市级部门财政项目支出绩效评价工作的通知》（洪财办[2020]10号）</w:t>
      </w:r>
    </w:p>
    <w:p>
      <w:pPr>
        <w:rPr>
          <w:rFonts w:ascii="仿宋" w:hAnsi="仿宋" w:cs="仿宋"/>
        </w:rPr>
      </w:pPr>
      <w:r>
        <w:rPr>
          <w:rFonts w:hint="eastAsia" w:ascii="仿宋" w:hAnsi="仿宋" w:cs="仿宋"/>
        </w:rPr>
        <w:t>（7）</w:t>
      </w:r>
      <w:r>
        <w:rPr>
          <w:rFonts w:hint="eastAsia" w:ascii="仿宋" w:hAnsi="仿宋" w:cs="仿宋"/>
          <w:szCs w:val="28"/>
        </w:rPr>
        <w:t>《关于将不动产登记大楼网络专线费用列入我局档案信息中心部门预算的申请》（洪国土资函〔2019〕148号）</w:t>
      </w:r>
    </w:p>
    <w:p>
      <w:pPr>
        <w:rPr>
          <w:rFonts w:ascii="仿宋" w:hAnsi="仿宋" w:cs="仿宋"/>
        </w:rPr>
      </w:pPr>
      <w:r>
        <w:rPr>
          <w:rFonts w:hint="eastAsia" w:ascii="仿宋" w:hAnsi="仿宋" w:cs="仿宋"/>
        </w:rPr>
        <w:t>（8）</w:t>
      </w:r>
      <w:r>
        <w:rPr>
          <w:rFonts w:ascii="仿宋" w:hAnsi="仿宋" w:cs="仿宋"/>
        </w:rPr>
        <w:t> </w:t>
      </w:r>
      <w:r>
        <w:rPr>
          <w:rFonts w:hint="eastAsia" w:ascii="仿宋" w:hAnsi="仿宋" w:cs="仿宋"/>
          <w:szCs w:val="28"/>
        </w:rPr>
        <w:t>南昌市财政局便函（洪财综便函〔2019〕42号）</w:t>
      </w:r>
    </w:p>
    <w:p>
      <w:pPr>
        <w:rPr>
          <w:rFonts w:ascii="仿宋" w:hAnsi="仿宋" w:cs="仿宋"/>
        </w:rPr>
      </w:pPr>
      <w:r>
        <w:rPr>
          <w:rFonts w:hint="eastAsia" w:ascii="仿宋" w:hAnsi="仿宋" w:cs="仿宋"/>
        </w:rPr>
        <w:t>（9）</w:t>
      </w:r>
      <w:r>
        <w:rPr>
          <w:rFonts w:hint="eastAsia" w:ascii="仿宋" w:hAnsi="仿宋" w:cs="仿宋"/>
          <w:szCs w:val="28"/>
        </w:rPr>
        <w:t>《关于请求批准不动产登记大楼网络专线费用的请示》（洪国土资文〔2019〕89号）</w:t>
      </w:r>
    </w:p>
    <w:p>
      <w:pPr>
        <w:rPr>
          <w:rFonts w:ascii="仿宋" w:hAnsi="仿宋" w:cs="仿宋"/>
        </w:rPr>
      </w:pPr>
      <w:r>
        <w:rPr>
          <w:rFonts w:hint="eastAsia" w:ascii="仿宋" w:hAnsi="仿宋" w:cs="仿宋"/>
        </w:rPr>
        <w:t>（10）</w:t>
      </w:r>
      <w:r>
        <w:rPr>
          <w:rFonts w:hint="eastAsia" w:ascii="仿宋" w:hAnsi="仿宋" w:cs="仿宋"/>
          <w:szCs w:val="28"/>
        </w:rPr>
        <w:t>南昌市人民政府办公厅抄告单（洪府厅抄字〔2019〕246号）</w:t>
      </w:r>
      <w:r>
        <w:rPr>
          <w:rFonts w:ascii="仿宋" w:hAnsi="仿宋" w:cs="仿宋"/>
          <w:b/>
          <w:bCs/>
        </w:rPr>
        <w:t>3、评价指标体系</w:t>
      </w:r>
      <w:r>
        <w:rPr>
          <w:rFonts w:ascii="仿宋" w:hAnsi="仿宋" w:cs="仿宋"/>
        </w:rPr>
        <w:br w:type="textWrapping"/>
      </w:r>
      <w:r>
        <w:rPr>
          <w:rFonts w:hint="eastAsia" w:ascii="仿宋" w:hAnsi="仿宋" w:cs="仿宋"/>
          <w:lang w:val="en-US" w:eastAsia="zh-CN"/>
        </w:rPr>
        <w:t xml:space="preserve">     </w:t>
      </w:r>
      <w:r>
        <w:rPr>
          <w:rFonts w:ascii="仿宋" w:hAnsi="仿宋" w:cs="仿宋"/>
        </w:rPr>
        <w:t>评价指标体系是开展绩效评价工作的核心，根据财政部《预算绩效评价共性指标体系框架》等文件精神及</w:t>
      </w:r>
      <w:r>
        <w:rPr>
          <w:rFonts w:hint="eastAsia" w:ascii="仿宋" w:hAnsi="仿宋" w:cs="仿宋"/>
        </w:rPr>
        <w:t>本项目的具体特点，依据南昌市人民政府</w:t>
      </w:r>
      <w:r>
        <w:rPr>
          <w:rFonts w:ascii="仿宋" w:hAnsi="仿宋" w:cs="仿宋"/>
        </w:rPr>
        <w:t>《关于印发</w:t>
      </w:r>
      <w:r>
        <w:rPr>
          <w:rFonts w:hint="eastAsia" w:ascii="仿宋" w:hAnsi="仿宋" w:cs="仿宋"/>
        </w:rPr>
        <w:t>&lt;</w:t>
      </w:r>
      <w:r>
        <w:rPr>
          <w:rFonts w:ascii="仿宋" w:hAnsi="仿宋" w:cs="仿宋"/>
        </w:rPr>
        <w:t>南昌市财政</w:t>
      </w:r>
      <w:r>
        <w:rPr>
          <w:rFonts w:hint="eastAsia" w:ascii="仿宋" w:hAnsi="仿宋" w:cs="仿宋"/>
        </w:rPr>
        <w:t>支出绩效评价</w:t>
      </w:r>
      <w:r>
        <w:rPr>
          <w:rFonts w:ascii="仿宋" w:hAnsi="仿宋" w:cs="仿宋"/>
        </w:rPr>
        <w:t>管理办法&gt; (试行)</w:t>
      </w:r>
      <w:r>
        <w:rPr>
          <w:rFonts w:hint="eastAsia" w:ascii="仿宋" w:hAnsi="仿宋" w:cs="仿宋"/>
        </w:rPr>
        <w:t>的通知》</w:t>
      </w:r>
      <w:r>
        <w:rPr>
          <w:rFonts w:ascii="仿宋" w:hAnsi="仿宋" w:cs="仿宋"/>
        </w:rPr>
        <w:t>(洪府发</w:t>
      </w:r>
      <w:r>
        <w:rPr>
          <w:rFonts w:hint="eastAsia"/>
        </w:rPr>
        <w:t>[2014]</w:t>
      </w:r>
      <w:r>
        <w:rPr>
          <w:rFonts w:ascii="仿宋" w:hAnsi="仿宋" w:cs="仿宋"/>
        </w:rPr>
        <w:t>8号)，结合本项目的特点，运用定量定性原则，设置了合理可行的评价体系，包括投入指标(项目立项、资金落实)、过程指标(业务管理、财务管理)、产出数量与质量指标、经济效益与社会效益指标等，确定了绩效评价一级指标、二级指标和三级指标。</w:t>
      </w:r>
    </w:p>
    <w:p>
      <w:pPr>
        <w:ind w:firstLine="562"/>
        <w:rPr>
          <w:rFonts w:ascii="仿宋" w:hAnsi="仿宋" w:cs="仿宋"/>
          <w:b/>
          <w:bCs/>
        </w:rPr>
      </w:pPr>
      <w:r>
        <w:rPr>
          <w:rFonts w:ascii="仿宋" w:hAnsi="仿宋" w:cs="仿宋"/>
          <w:b/>
          <w:bCs/>
        </w:rPr>
        <w:t>4、评价方法</w:t>
      </w:r>
    </w:p>
    <w:p>
      <w:pPr>
        <w:rPr>
          <w:rFonts w:ascii="仿宋" w:hAnsi="仿宋" w:cs="仿宋"/>
        </w:rPr>
      </w:pPr>
      <w:r>
        <w:rPr>
          <w:rFonts w:ascii="仿宋" w:hAnsi="仿宋" w:cs="仿宋"/>
        </w:rPr>
        <w:t>本项目绩效评价主要根据设定的评价指标和计分标准结合本单位具体情况进行自评打分，采用百分制进行计分。</w:t>
      </w:r>
    </w:p>
    <w:p>
      <w:pPr>
        <w:rPr>
          <w:rFonts w:ascii="仿宋" w:hAnsi="仿宋" w:cs="仿宋"/>
        </w:rPr>
      </w:pPr>
      <w:r>
        <w:rPr>
          <w:rFonts w:ascii="仿宋" w:hAnsi="仿宋" w:cs="仿宋"/>
        </w:rPr>
        <w:t xml:space="preserve">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 </w:t>
      </w:r>
      <w:r>
        <w:rPr>
          <w:rFonts w:hint="eastAsia" w:ascii="仿宋" w:hAnsi="仿宋" w:cs="仿宋"/>
        </w:rPr>
        <w:t>，</w:t>
      </w:r>
      <w:r>
        <w:rPr>
          <w:rFonts w:ascii="仿宋" w:hAnsi="仿宋" w:cs="仿宋"/>
        </w:rPr>
        <w:t>项目效果(经济效益指标、社会效益指标、生态效益指标、可持续影响指标)，项目满意度(社会公众或服务对象满意度)。结合《关于在中心城区增设不动产抵押类登记窗口的实施方案》以及项目实际情况等内容，确定本次绩效评价指标体系的个性指标，并通过与相关各方的协商最终确定全部指标内容。指标数据来源于法规与政府文件、基础数据采集、问卷调查、访谈等。具体详见《项目绩效评分表》。</w:t>
      </w:r>
    </w:p>
    <w:p>
      <w:pPr>
        <w:ind w:firstLine="0" w:firstLineChars="0"/>
        <w:rPr>
          <w:rFonts w:ascii="仿宋" w:hAnsi="仿宋" w:cs="仿宋"/>
          <w:b/>
          <w:bCs/>
        </w:rPr>
      </w:pPr>
      <w:r>
        <w:rPr>
          <w:rFonts w:ascii="仿宋" w:hAnsi="仿宋" w:cs="仿宋"/>
          <w:b/>
          <w:bCs/>
        </w:rPr>
        <w:t>(三)绩效评价工作过程</w:t>
      </w:r>
    </w:p>
    <w:p>
      <w:pPr>
        <w:ind w:firstLine="562"/>
        <w:rPr>
          <w:rFonts w:ascii="仿宋" w:hAnsi="仿宋" w:cs="仿宋"/>
          <w:b/>
          <w:bCs/>
        </w:rPr>
      </w:pPr>
      <w:r>
        <w:rPr>
          <w:rFonts w:ascii="仿宋" w:hAnsi="仿宋" w:cs="仿宋"/>
          <w:b/>
          <w:bCs/>
        </w:rPr>
        <w:t>1、成立绩效评价项目小组</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日-</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月</w:t>
      </w:r>
      <w:r>
        <w:rPr>
          <w:rFonts w:hint="eastAsia" w:ascii="仿宋" w:hAnsi="仿宋" w:cs="仿宋"/>
          <w:b/>
          <w:bCs/>
          <w:sz w:val="28"/>
          <w:szCs w:val="28"/>
          <w:lang w:val="en-US" w:eastAsia="zh-CN"/>
        </w:rPr>
        <w:t>23</w:t>
      </w:r>
      <w:r>
        <w:rPr>
          <w:rFonts w:hint="eastAsia" w:ascii="仿宋" w:hAnsi="仿宋" w:eastAsia="仿宋" w:cs="仿宋"/>
          <w:b/>
          <w:bCs/>
          <w:sz w:val="28"/>
          <w:szCs w:val="28"/>
          <w:lang w:val="en-US" w:eastAsia="zh-CN"/>
        </w:rPr>
        <w:t>日</w:t>
      </w:r>
      <w:r>
        <w:rPr>
          <w:rFonts w:hint="eastAsia" w:ascii="仿宋" w:hAnsi="仿宋" w:eastAsia="仿宋" w:cs="仿宋"/>
          <w:b/>
          <w:bCs/>
          <w:sz w:val="28"/>
          <w:szCs w:val="28"/>
          <w:lang w:eastAsia="zh-CN"/>
        </w:rPr>
        <w:t>）</w:t>
      </w:r>
    </w:p>
    <w:p>
      <w:pPr>
        <w:rPr>
          <w:rFonts w:ascii="仿宋" w:hAnsi="仿宋" w:cs="仿宋"/>
        </w:rPr>
      </w:pPr>
      <w:r>
        <w:rPr>
          <w:rFonts w:ascii="仿宋" w:hAnsi="仿宋" w:cs="仿宋"/>
        </w:rPr>
        <w:t>根据南昌市财政局《关于开展201</w:t>
      </w:r>
      <w:r>
        <w:rPr>
          <w:rFonts w:hint="eastAsia" w:ascii="仿宋" w:hAnsi="仿宋" w:cs="仿宋"/>
        </w:rPr>
        <w:t>9年度市直部门</w:t>
      </w:r>
      <w:r>
        <w:rPr>
          <w:rFonts w:ascii="仿宋" w:hAnsi="仿宋" w:cs="仿宋"/>
        </w:rPr>
        <w:t>财政项目支出绩效评价工作的通知》(洪财办</w:t>
      </w:r>
      <w:r>
        <w:rPr>
          <w:rFonts w:hint="eastAsia" w:ascii="仿宋" w:hAnsi="仿宋" w:cs="仿宋"/>
        </w:rPr>
        <w:t>[</w:t>
      </w:r>
      <w:r>
        <w:rPr>
          <w:rFonts w:ascii="仿宋" w:hAnsi="仿宋" w:cs="仿宋"/>
        </w:rPr>
        <w:t>20</w:t>
      </w:r>
      <w:r>
        <w:rPr>
          <w:rFonts w:hint="eastAsia" w:ascii="仿宋" w:hAnsi="仿宋" w:cs="仿宋"/>
        </w:rPr>
        <w:t>20]10</w:t>
      </w:r>
      <w:r>
        <w:rPr>
          <w:rFonts w:ascii="仿宋" w:hAnsi="仿宋" w:cs="仿宋"/>
        </w:rPr>
        <w:t>号)文件要求，成立了绩效评价项</w:t>
      </w:r>
    </w:p>
    <w:p>
      <w:pPr>
        <w:ind w:firstLine="0" w:firstLineChars="0"/>
        <w:rPr>
          <w:rFonts w:ascii="仿宋" w:hAnsi="仿宋" w:cs="仿宋"/>
        </w:rPr>
      </w:pPr>
      <w:r>
        <w:rPr>
          <w:rFonts w:ascii="仿宋" w:hAnsi="仿宋" w:cs="仿宋"/>
        </w:rPr>
        <w:t>目小组，具体实施项目</w:t>
      </w:r>
      <w:r>
        <w:rPr>
          <w:rFonts w:hint="eastAsia" w:ascii="仿宋" w:hAnsi="仿宋" w:cs="仿宋"/>
        </w:rPr>
        <w:t>绩</w:t>
      </w:r>
      <w:r>
        <w:rPr>
          <w:rFonts w:ascii="仿宋" w:hAnsi="仿宋" w:cs="仿宋"/>
        </w:rPr>
        <w:t>效评价工作。</w:t>
      </w:r>
    </w:p>
    <w:p>
      <w:pPr>
        <w:ind w:firstLine="562"/>
        <w:rPr>
          <w:rFonts w:ascii="仿宋" w:hAnsi="仿宋" w:cs="仿宋"/>
          <w:b/>
          <w:bCs/>
        </w:rPr>
      </w:pPr>
      <w:r>
        <w:rPr>
          <w:rFonts w:ascii="仿宋" w:hAnsi="仿宋" w:cs="仿宋"/>
          <w:b/>
          <w:bCs/>
        </w:rPr>
        <w:t>2、绩效评价实施过程</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2020年3月24日-4月10日</w:t>
      </w:r>
      <w:r>
        <w:rPr>
          <w:rFonts w:hint="eastAsia" w:ascii="仿宋" w:hAnsi="仿宋" w:eastAsia="仿宋" w:cs="仿宋"/>
          <w:b/>
          <w:bCs/>
          <w:sz w:val="28"/>
          <w:szCs w:val="28"/>
          <w:lang w:eastAsia="zh-CN"/>
        </w:rPr>
        <w:t>）</w:t>
      </w:r>
    </w:p>
    <w:p>
      <w:pPr>
        <w:rPr>
          <w:rFonts w:ascii="仿宋" w:hAnsi="仿宋" w:cs="仿宋"/>
        </w:rPr>
      </w:pPr>
      <w:r>
        <w:rPr>
          <w:rFonts w:ascii="仿宋" w:hAnsi="仿宋" w:cs="仿宋"/>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rPr>
          <w:rFonts w:ascii="仿宋" w:hAnsi="仿宋" w:cs="仿宋"/>
        </w:rPr>
      </w:pPr>
      <w:r>
        <w:rPr>
          <w:rFonts w:ascii="仿宋" w:hAnsi="仿宋" w:cs="仿宋"/>
        </w:rPr>
        <w:t>(2)根据制定的项目绩效评价工作方案，收集项目情况实施材料，包括收集、审核基础资料;对收集的证据运用科学的方法进行综合分析。</w:t>
      </w:r>
    </w:p>
    <w:p>
      <w:pPr>
        <w:ind w:firstLine="562"/>
        <w:rPr>
          <w:rFonts w:ascii="仿宋" w:hAnsi="仿宋" w:cs="仿宋"/>
          <w:b/>
          <w:bCs/>
        </w:rPr>
      </w:pPr>
      <w:r>
        <w:rPr>
          <w:rFonts w:ascii="仿宋" w:hAnsi="仿宋" w:cs="仿宋"/>
          <w:b/>
          <w:bCs/>
        </w:rPr>
        <w:t>3、建立绩效评价工作档案</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2020年4月11日-4月15日</w:t>
      </w:r>
      <w:r>
        <w:rPr>
          <w:rFonts w:hint="eastAsia" w:ascii="仿宋" w:hAnsi="仿宋" w:eastAsia="仿宋" w:cs="仿宋"/>
          <w:b/>
          <w:bCs/>
          <w:sz w:val="28"/>
          <w:szCs w:val="28"/>
          <w:lang w:eastAsia="zh-CN"/>
        </w:rPr>
        <w:t>）</w:t>
      </w:r>
    </w:p>
    <w:p>
      <w:pPr>
        <w:rPr>
          <w:rFonts w:ascii="仿宋" w:hAnsi="仿宋" w:cs="仿宋"/>
        </w:rPr>
      </w:pPr>
      <w:r>
        <w:rPr>
          <w:rFonts w:hint="eastAsia" w:ascii="仿宋" w:hAnsi="仿宋" w:cs="仿宋"/>
        </w:rPr>
        <w:t>绩效</w:t>
      </w:r>
      <w:r>
        <w:rPr>
          <w:rFonts w:ascii="仿宋" w:hAnsi="仿宋" w:cs="仿宋"/>
        </w:rPr>
        <w:t>评价项目</w:t>
      </w:r>
      <w:r>
        <w:rPr>
          <w:rFonts w:hint="eastAsia" w:ascii="仿宋" w:hAnsi="仿宋" w:cs="仿宋"/>
        </w:rPr>
        <w:t>小</w:t>
      </w:r>
      <w:r>
        <w:rPr>
          <w:rFonts w:ascii="仿宋" w:hAnsi="仿宋" w:cs="仿宋"/>
        </w:rPr>
        <w:t>组对项目评</w:t>
      </w:r>
      <w:r>
        <w:rPr>
          <w:rFonts w:hint="eastAsia" w:ascii="仿宋" w:hAnsi="仿宋" w:cs="仿宋"/>
        </w:rPr>
        <w:t>价</w:t>
      </w:r>
      <w:r>
        <w:rPr>
          <w:rFonts w:ascii="仿宋" w:hAnsi="仿宋" w:cs="仿宋"/>
        </w:rPr>
        <w:t>工作进行</w:t>
      </w:r>
      <w:r>
        <w:rPr>
          <w:rFonts w:hint="eastAsia" w:ascii="仿宋" w:hAnsi="仿宋" w:cs="仿宋"/>
        </w:rPr>
        <w:t>总结</w:t>
      </w:r>
      <w:r>
        <w:rPr>
          <w:rFonts w:ascii="仿宋" w:hAnsi="仿宋" w:cs="仿宋"/>
        </w:rPr>
        <w:t>，</w:t>
      </w:r>
      <w:r>
        <w:rPr>
          <w:rFonts w:hint="eastAsia" w:ascii="仿宋" w:hAnsi="仿宋" w:cs="仿宋"/>
        </w:rPr>
        <w:t>将工作背景</w:t>
      </w:r>
      <w:r>
        <w:rPr>
          <w:rFonts w:ascii="仿宋" w:hAnsi="仿宋" w:cs="仿宋"/>
        </w:rPr>
        <w:t>、</w:t>
      </w:r>
      <w:r>
        <w:rPr>
          <w:rFonts w:hint="eastAsia" w:ascii="仿宋" w:hAnsi="仿宋" w:cs="仿宋"/>
        </w:rPr>
        <w:t>时间地点、工作基本情况、评价结果、评价等级、评价工作中的问题及工作建议</w:t>
      </w:r>
      <w:r>
        <w:rPr>
          <w:rFonts w:ascii="仿宋" w:hAnsi="仿宋" w:cs="仿宋"/>
        </w:rPr>
        <w:t>等形成书面材料，建立项目评价工作档案。</w:t>
      </w:r>
    </w:p>
    <w:p>
      <w:pPr>
        <w:ind w:firstLine="562"/>
        <w:rPr>
          <w:rFonts w:ascii="仿宋" w:hAnsi="仿宋" w:cs="仿宋"/>
          <w:b/>
          <w:bCs/>
        </w:rPr>
      </w:pPr>
      <w:r>
        <w:rPr>
          <w:rFonts w:ascii="仿宋" w:hAnsi="仿宋" w:cs="仿宋"/>
          <w:b/>
          <w:bCs/>
        </w:rPr>
        <w:t xml:space="preserve"> 4、证据收集方法</w:t>
      </w:r>
    </w:p>
    <w:p>
      <w:pPr>
        <w:jc w:val="left"/>
        <w:rPr>
          <w:rFonts w:ascii="仿宋" w:hAnsi="仿宋" w:cs="仿宋"/>
        </w:rPr>
      </w:pPr>
      <w:r>
        <w:rPr>
          <w:rFonts w:ascii="仿宋" w:hAnsi="仿宋" w:cs="仿宋"/>
        </w:rPr>
        <w:t>本项目主要采用查阅相关文件、合同</w:t>
      </w:r>
      <w:r>
        <w:rPr>
          <w:rFonts w:hint="eastAsia" w:ascii="仿宋" w:hAnsi="仿宋" w:cs="仿宋"/>
        </w:rPr>
        <w:t>、抽</w:t>
      </w:r>
      <w:r>
        <w:rPr>
          <w:rFonts w:ascii="仿宋" w:hAnsi="仿宋" w:cs="仿宋"/>
        </w:rPr>
        <w:t>查会计凭证账表等资料，并通过社会调查等</w:t>
      </w:r>
      <w:r>
        <w:rPr>
          <w:rFonts w:hint="eastAsia" w:ascii="仿宋" w:hAnsi="仿宋" w:cs="仿宋"/>
        </w:rPr>
        <w:t>掌握</w:t>
      </w:r>
      <w:r>
        <w:rPr>
          <w:rFonts w:ascii="仿宋" w:hAnsi="仿宋" w:cs="仿宋"/>
        </w:rPr>
        <w:t>具体情况，对采集的数据和资料进行</w:t>
      </w:r>
      <w:r>
        <w:rPr>
          <w:rFonts w:hint="eastAsia" w:ascii="仿宋" w:hAnsi="仿宋" w:cs="仿宋"/>
        </w:rPr>
        <w:t>详</w:t>
      </w:r>
      <w:r>
        <w:rPr>
          <w:rFonts w:ascii="仿宋" w:hAnsi="仿宋" w:cs="仿宋"/>
        </w:rPr>
        <w:t>细的分析和统计。</w:t>
      </w:r>
    </w:p>
    <w:p>
      <w:pPr>
        <w:ind w:firstLine="562"/>
        <w:rPr>
          <w:rFonts w:ascii="仿宋" w:hAnsi="仿宋" w:cs="仿宋"/>
          <w:b/>
          <w:bCs/>
        </w:rPr>
      </w:pPr>
      <w:r>
        <w:rPr>
          <w:rFonts w:ascii="仿宋" w:hAnsi="仿宋" w:cs="仿宋"/>
          <w:b/>
          <w:bCs/>
        </w:rPr>
        <w:t>5、本次绩效评价的局限性</w:t>
      </w:r>
    </w:p>
    <w:p>
      <w:pPr>
        <w:jc w:val="left"/>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numPr>
          <w:ilvl w:val="0"/>
          <w:numId w:val="5"/>
        </w:numPr>
        <w:ind w:firstLine="643"/>
        <w:jc w:val="left"/>
        <w:rPr>
          <w:rFonts w:ascii="仿宋" w:hAnsi="仿宋" w:cs="仿宋"/>
          <w:b/>
          <w:bCs/>
          <w:sz w:val="32"/>
          <w:szCs w:val="32"/>
        </w:rPr>
      </w:pPr>
      <w:r>
        <w:rPr>
          <w:rFonts w:hint="eastAsia" w:ascii="仿宋" w:hAnsi="仿宋" w:cs="仿宋"/>
          <w:b/>
          <w:bCs/>
          <w:sz w:val="32"/>
          <w:szCs w:val="32"/>
        </w:rPr>
        <w:t>综合评价情况及评价结论</w:t>
      </w:r>
    </w:p>
    <w:p>
      <w:pPr>
        <w:rPr>
          <w:rFonts w:ascii="仿宋" w:hAnsi="仿宋" w:cs="仿宋"/>
        </w:rPr>
      </w:pPr>
      <w:r>
        <w:rPr>
          <w:rFonts w:ascii="仿宋" w:hAnsi="仿宋" w:cs="仿宋"/>
        </w:rPr>
        <w:t>201</w:t>
      </w:r>
      <w:r>
        <w:rPr>
          <w:rFonts w:hint="eastAsia" w:ascii="仿宋" w:hAnsi="仿宋" w:cs="仿宋"/>
        </w:rPr>
        <w:t>9</w:t>
      </w:r>
      <w:r>
        <w:rPr>
          <w:rFonts w:ascii="仿宋" w:hAnsi="仿宋" w:cs="仿宋"/>
        </w:rPr>
        <w:t>年度</w:t>
      </w:r>
      <w:r>
        <w:rPr>
          <w:rFonts w:hint="eastAsia" w:ascii="仿宋" w:hAnsi="仿宋" w:cs="仿宋"/>
        </w:rPr>
        <w:t>不动产登记大楼网络专线</w:t>
      </w:r>
      <w:r>
        <w:rPr>
          <w:rFonts w:ascii="仿宋" w:hAnsi="仿宋" w:cs="仿宋"/>
        </w:rPr>
        <w:t>经费项目,目标明确，项目符合申报条件，从资金落实执行情况、项目业务管理、财务管理、项目产出数量、质量、时效、成本、项目社会效益、可持续影响、群众满意度等方面很好的执行了有关政策制度。</w:t>
      </w:r>
    </w:p>
    <w:p>
      <w:pPr>
        <w:rPr>
          <w:rFonts w:ascii="仿宋" w:hAnsi="仿宋" w:cs="仿宋"/>
        </w:rPr>
      </w:pPr>
      <w:r>
        <w:rPr>
          <w:rFonts w:ascii="仿宋" w:hAnsi="仿宋" w:cs="仿宋"/>
        </w:rPr>
        <w:t>该项目围绕绩效评价指标体系，通过数据采集及综合分析等方式，对本项目绩效进行了客观、公正的评价，最终评价得分为</w:t>
      </w:r>
      <w:r>
        <w:rPr>
          <w:rFonts w:hint="eastAsia" w:ascii="仿宋" w:hAnsi="仿宋" w:cs="仿宋"/>
        </w:rPr>
        <w:t>98</w:t>
      </w:r>
      <w:r>
        <w:rPr>
          <w:rFonts w:ascii="仿宋" w:hAnsi="仿宋" w:cs="仿宋"/>
        </w:rPr>
        <w:t>分，</w:t>
      </w:r>
      <w:r>
        <w:rPr>
          <w:rFonts w:hint="eastAsia" w:ascii="仿宋" w:hAnsi="仿宋" w:cs="仿宋"/>
        </w:rPr>
        <w:t>复评分97分，</w:t>
      </w:r>
      <w:r>
        <w:rPr>
          <w:rFonts w:ascii="仿宋" w:hAnsi="仿宋" w:cs="仿宋"/>
        </w:rPr>
        <w:t>评价等级为“优”。</w:t>
      </w:r>
    </w:p>
    <w:tbl>
      <w:tblPr>
        <w:tblStyle w:val="11"/>
        <w:tblW w:w="10293" w:type="dxa"/>
        <w:jc w:val="center"/>
        <w:tblLayout w:type="fixed"/>
        <w:tblCellMar>
          <w:top w:w="0" w:type="dxa"/>
          <w:left w:w="108" w:type="dxa"/>
          <w:bottom w:w="0" w:type="dxa"/>
          <w:right w:w="108" w:type="dxa"/>
        </w:tblCellMar>
      </w:tblPr>
      <w:tblGrid>
        <w:gridCol w:w="640"/>
        <w:gridCol w:w="915"/>
        <w:gridCol w:w="1355"/>
        <w:gridCol w:w="980"/>
        <w:gridCol w:w="1136"/>
        <w:gridCol w:w="215"/>
        <w:gridCol w:w="1254"/>
        <w:gridCol w:w="1483"/>
        <w:gridCol w:w="559"/>
        <w:gridCol w:w="548"/>
        <w:gridCol w:w="319"/>
        <w:gridCol w:w="889"/>
      </w:tblGrid>
      <w:tr>
        <w:tblPrEx>
          <w:tblCellMar>
            <w:top w:w="0" w:type="dxa"/>
            <w:left w:w="108" w:type="dxa"/>
            <w:bottom w:w="0" w:type="dxa"/>
            <w:right w:w="108" w:type="dxa"/>
          </w:tblCellMar>
        </w:tblPrEx>
        <w:trPr>
          <w:trHeight w:val="454" w:hRule="exact"/>
          <w:jc w:val="center"/>
        </w:trPr>
        <w:tc>
          <w:tcPr>
            <w:tcW w:w="10293" w:type="dxa"/>
            <w:gridSpan w:val="12"/>
            <w:tcBorders>
              <w:top w:val="nil"/>
              <w:left w:val="nil"/>
              <w:bottom w:val="nil"/>
              <w:right w:val="nil"/>
            </w:tcBorders>
            <w:noWrap/>
            <w:vAlign w:val="center"/>
          </w:tcPr>
          <w:p>
            <w:pPr>
              <w:widowControl/>
              <w:spacing w:line="400" w:lineRule="exact"/>
              <w:ind w:firstLine="720"/>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10293" w:type="dxa"/>
            <w:gridSpan w:val="12"/>
            <w:tcBorders>
              <w:top w:val="nil"/>
              <w:left w:val="nil"/>
              <w:bottom w:val="nil"/>
              <w:right w:val="nil"/>
            </w:tcBorders>
            <w:noWrap/>
          </w:tcPr>
          <w:p>
            <w:pPr>
              <w:widowControl/>
              <w:jc w:val="center"/>
              <w:rPr>
                <w:rFonts w:ascii="黑体" w:hAnsi="宋体" w:eastAsia="黑体" w:cs="宋体"/>
                <w:kern w:val="0"/>
                <w:szCs w:val="21"/>
              </w:rPr>
            </w:pPr>
            <w:r>
              <w:rPr>
                <w:rFonts w:hint="eastAsia" w:ascii="黑体" w:hAnsi="宋体" w:eastAsia="黑体" w:cs="宋体"/>
                <w:kern w:val="0"/>
                <w:szCs w:val="21"/>
              </w:rPr>
              <w:t>（ 2019年度）</w:t>
            </w:r>
          </w:p>
        </w:tc>
      </w:tr>
      <w:tr>
        <w:tblPrEx>
          <w:tblCellMar>
            <w:top w:w="0" w:type="dxa"/>
            <w:left w:w="108" w:type="dxa"/>
            <w:bottom w:w="0" w:type="dxa"/>
            <w:right w:w="108" w:type="dxa"/>
          </w:tblCellMar>
        </w:tblPrEx>
        <w:trPr>
          <w:trHeight w:val="300" w:hRule="exac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tc>
        <w:tc>
          <w:tcPr>
            <w:tcW w:w="8738" w:type="dxa"/>
            <w:gridSpan w:val="10"/>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不动产登记大楼网络专线经费项目</w:t>
            </w:r>
          </w:p>
        </w:tc>
      </w:tr>
      <w:tr>
        <w:tblPrEx>
          <w:tblCellMar>
            <w:top w:w="0" w:type="dxa"/>
            <w:left w:w="108" w:type="dxa"/>
            <w:bottom w:w="0" w:type="dxa"/>
            <w:right w:w="108" w:type="dxa"/>
          </w:tblCellMar>
        </w:tblPrEx>
        <w:trPr>
          <w:trHeight w:val="479" w:hRule="exact"/>
          <w:jc w:val="center"/>
        </w:trPr>
        <w:tc>
          <w:tcPr>
            <w:tcW w:w="15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主管部门</w:t>
            </w:r>
          </w:p>
        </w:tc>
        <w:tc>
          <w:tcPr>
            <w:tcW w:w="4940" w:type="dxa"/>
            <w:gridSpan w:val="5"/>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南昌市自然资源局</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实施单位</w:t>
            </w:r>
          </w:p>
        </w:tc>
        <w:tc>
          <w:tcPr>
            <w:tcW w:w="2315" w:type="dxa"/>
            <w:gridSpan w:val="4"/>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南昌市国土资源档案信息中心</w:t>
            </w:r>
          </w:p>
        </w:tc>
      </w:tr>
      <w:tr>
        <w:tblPrEx>
          <w:tblCellMar>
            <w:top w:w="0" w:type="dxa"/>
            <w:left w:w="108" w:type="dxa"/>
            <w:bottom w:w="0" w:type="dxa"/>
            <w:right w:w="108" w:type="dxa"/>
          </w:tblCellMar>
        </w:tblPrEx>
        <w:trPr>
          <w:trHeight w:val="495" w:hRule="exact"/>
          <w:jc w:val="center"/>
        </w:trPr>
        <w:tc>
          <w:tcPr>
            <w:tcW w:w="155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项目资金</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（万元）</w:t>
            </w:r>
          </w:p>
        </w:tc>
        <w:tc>
          <w:tcPr>
            <w:tcW w:w="2335"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136"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年初</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预算数</w:t>
            </w:r>
          </w:p>
        </w:tc>
        <w:tc>
          <w:tcPr>
            <w:tcW w:w="1469"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全年预算数</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全年执行数</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执行率</w:t>
            </w:r>
          </w:p>
        </w:tc>
        <w:tc>
          <w:tcPr>
            <w:tcW w:w="8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r>
      <w:tr>
        <w:tblPrEx>
          <w:tblCellMar>
            <w:top w:w="0" w:type="dxa"/>
            <w:left w:w="108" w:type="dxa"/>
            <w:bottom w:w="0" w:type="dxa"/>
            <w:right w:w="108" w:type="dxa"/>
          </w:tblCellMar>
        </w:tblPrEx>
        <w:trPr>
          <w:trHeight w:val="354" w:hRule="exact"/>
          <w:jc w:val="center"/>
        </w:trPr>
        <w:tc>
          <w:tcPr>
            <w:tcW w:w="15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5"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年度资金总额</w:t>
            </w:r>
          </w:p>
        </w:tc>
        <w:tc>
          <w:tcPr>
            <w:tcW w:w="1136"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1469"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r>
      <w:tr>
        <w:tblPrEx>
          <w:tblCellMar>
            <w:top w:w="0" w:type="dxa"/>
            <w:left w:w="108" w:type="dxa"/>
            <w:bottom w:w="0" w:type="dxa"/>
            <w:right w:w="108" w:type="dxa"/>
          </w:tblCellMar>
        </w:tblPrEx>
        <w:trPr>
          <w:trHeight w:val="358" w:hRule="exact"/>
          <w:jc w:val="center"/>
        </w:trPr>
        <w:tc>
          <w:tcPr>
            <w:tcW w:w="15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5"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其中：当年财政拨款</w:t>
            </w:r>
          </w:p>
        </w:tc>
        <w:tc>
          <w:tcPr>
            <w:tcW w:w="1136"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1469" w:type="dxa"/>
            <w:gridSpan w:val="2"/>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21.4936</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8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r>
      <w:tr>
        <w:tblPrEx>
          <w:tblCellMar>
            <w:top w:w="0" w:type="dxa"/>
            <w:left w:w="108" w:type="dxa"/>
            <w:bottom w:w="0" w:type="dxa"/>
            <w:right w:w="108" w:type="dxa"/>
          </w:tblCellMar>
        </w:tblPrEx>
        <w:trPr>
          <w:trHeight w:val="347" w:hRule="exact"/>
          <w:jc w:val="center"/>
        </w:trPr>
        <w:tc>
          <w:tcPr>
            <w:tcW w:w="15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5"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上年结转资金</w:t>
            </w:r>
          </w:p>
        </w:tc>
        <w:tc>
          <w:tcPr>
            <w:tcW w:w="1136"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469" w:type="dxa"/>
            <w:gridSpan w:val="2"/>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483"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55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88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55" w:hRule="exact"/>
          <w:jc w:val="center"/>
        </w:trPr>
        <w:tc>
          <w:tcPr>
            <w:tcW w:w="15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5"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其他资金</w:t>
            </w:r>
          </w:p>
        </w:tc>
        <w:tc>
          <w:tcPr>
            <w:tcW w:w="1136"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469" w:type="dxa"/>
            <w:gridSpan w:val="2"/>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483"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55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867"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88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00" w:hRule="exact"/>
          <w:jc w:val="center"/>
        </w:trPr>
        <w:tc>
          <w:tcPr>
            <w:tcW w:w="64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年度总体目标</w:t>
            </w:r>
          </w:p>
        </w:tc>
        <w:tc>
          <w:tcPr>
            <w:tcW w:w="5855" w:type="dxa"/>
            <w:gridSpan w:val="6"/>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预期目标</w:t>
            </w:r>
          </w:p>
        </w:tc>
        <w:tc>
          <w:tcPr>
            <w:tcW w:w="3798" w:type="dxa"/>
            <w:gridSpan w:val="5"/>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实际完成情况</w:t>
            </w:r>
          </w:p>
        </w:tc>
      </w:tr>
      <w:tr>
        <w:tblPrEx>
          <w:tblCellMar>
            <w:top w:w="0" w:type="dxa"/>
            <w:left w:w="108" w:type="dxa"/>
            <w:bottom w:w="0" w:type="dxa"/>
            <w:right w:w="108" w:type="dxa"/>
          </w:tblCellMar>
        </w:tblPrEx>
        <w:trPr>
          <w:trHeight w:val="1007" w:hRule="exact"/>
          <w:jc w:val="center"/>
        </w:trPr>
        <w:tc>
          <w:tcPr>
            <w:tcW w:w="64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5855" w:type="dxa"/>
            <w:gridSpan w:val="6"/>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黑体" w:hAnsi="宋体" w:eastAsia="黑体" w:cs="宋体"/>
                <w:kern w:val="0"/>
                <w:szCs w:val="21"/>
              </w:rPr>
            </w:pPr>
            <w:r>
              <w:rPr>
                <w:rFonts w:hint="eastAsia" w:ascii="仿宋" w:hAnsi="仿宋"/>
                <w:sz w:val="18"/>
                <w:szCs w:val="18"/>
              </w:rPr>
              <w:t>2019年度不动产登记大楼网络专线政府采购完成率100%，验收合格率100%，全年运行状况良好，保障局办公网络正常，日常工作不受影响</w:t>
            </w:r>
          </w:p>
        </w:tc>
        <w:tc>
          <w:tcPr>
            <w:tcW w:w="3798" w:type="dxa"/>
            <w:gridSpan w:val="5"/>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黑体" w:hAnsi="宋体" w:eastAsia="黑体" w:cs="宋体"/>
                <w:kern w:val="0"/>
                <w:szCs w:val="21"/>
              </w:rPr>
            </w:pPr>
            <w:r>
              <w:rPr>
                <w:rFonts w:hint="eastAsia" w:ascii="仿宋" w:hAnsi="仿宋"/>
                <w:sz w:val="18"/>
                <w:szCs w:val="18"/>
              </w:rPr>
              <w:t>2019年度不动产登记大楼网络专线政府采购完成率100%，验收合格率100%，全年运行状况良好，保障局办公网络正常，日常工作不受影响</w:t>
            </w:r>
          </w:p>
        </w:tc>
      </w:tr>
      <w:tr>
        <w:tblPrEx>
          <w:tblCellMar>
            <w:top w:w="0" w:type="dxa"/>
            <w:left w:w="108" w:type="dxa"/>
            <w:bottom w:w="0" w:type="dxa"/>
            <w:right w:w="108" w:type="dxa"/>
          </w:tblCellMar>
        </w:tblPrEx>
        <w:trPr>
          <w:trHeight w:val="667" w:hRule="exact"/>
          <w:jc w:val="center"/>
        </w:trPr>
        <w:tc>
          <w:tcPr>
            <w:tcW w:w="640" w:type="dxa"/>
            <w:vMerge w:val="restart"/>
            <w:tcBorders>
              <w:top w:val="nil"/>
              <w:left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绩</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标</w:t>
            </w:r>
          </w:p>
        </w:tc>
        <w:tc>
          <w:tcPr>
            <w:tcW w:w="915"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一级指标</w:t>
            </w:r>
          </w:p>
        </w:tc>
        <w:tc>
          <w:tcPr>
            <w:tcW w:w="1355"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二级指标</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三级指标</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指标值</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实际完成值</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分值</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得分</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偏差原因分析及改进措施</w:t>
            </w:r>
          </w:p>
        </w:tc>
      </w:tr>
      <w:tr>
        <w:tblPrEx>
          <w:tblCellMar>
            <w:top w:w="0" w:type="dxa"/>
            <w:left w:w="108" w:type="dxa"/>
            <w:bottom w:w="0" w:type="dxa"/>
            <w:right w:w="108" w:type="dxa"/>
          </w:tblCellMar>
        </w:tblPrEx>
        <w:trPr>
          <w:trHeight w:val="483"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产出指标</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（50分）</w:t>
            </w:r>
          </w:p>
        </w:tc>
        <w:tc>
          <w:tcPr>
            <w:tcW w:w="135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数量指标</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（20分）</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color w:val="000000"/>
                <w:kern w:val="0"/>
                <w:sz w:val="18"/>
                <w:szCs w:val="18"/>
              </w:rPr>
              <w:t>指标1：移动OA办公系统网络专线</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1条</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1条</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17"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35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color w:val="000000"/>
                <w:kern w:val="0"/>
                <w:sz w:val="18"/>
                <w:szCs w:val="18"/>
              </w:rPr>
              <w:t>指标2：不动产登记大楼互联网专线</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1条</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1条</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651"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35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质量指标</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（15分）</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color w:val="000000"/>
                <w:kern w:val="0"/>
                <w:sz w:val="18"/>
                <w:szCs w:val="18"/>
              </w:rPr>
              <w:t>指标1：移动OA办公系统网络专线传输速率</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≥100M</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≥100M</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651"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1355"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color w:val="000000"/>
                <w:kern w:val="0"/>
                <w:sz w:val="18"/>
                <w:szCs w:val="18"/>
              </w:rPr>
              <w:t>指标2：不动产登记大楼互联网专线传输速率</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≥150M</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≥150M</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001"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135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color w:val="000000"/>
                <w:kern w:val="0"/>
                <w:sz w:val="18"/>
                <w:szCs w:val="18"/>
              </w:rPr>
              <w:t>指标3：移动OA办公系统网络专线、不动产登记大楼互联网专线网络安全、性能稳定程度</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≥95%</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≥95%</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00"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（5分）</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指标1：完成</w:t>
            </w:r>
            <w:r>
              <w:rPr>
                <w:rFonts w:hint="eastAsia" w:ascii="仿宋" w:hAnsi="仿宋" w:cs="仿宋"/>
                <w:color w:val="000000"/>
                <w:kern w:val="0"/>
                <w:sz w:val="18"/>
                <w:szCs w:val="18"/>
              </w:rPr>
              <w:t>移动OA办公系统网络专线</w:t>
            </w:r>
            <w:r>
              <w:rPr>
                <w:rFonts w:hint="eastAsia" w:ascii="仿宋" w:hAnsi="仿宋" w:cs="仿宋"/>
                <w:sz w:val="18"/>
                <w:szCs w:val="18"/>
              </w:rPr>
              <w:t>政府采购流程并投入使用时限</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2019年7月</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2019年7月</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17"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135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（10分）</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指标1：移动OA政务办公系统网络专线</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sz w:val="18"/>
                <w:szCs w:val="18"/>
              </w:rPr>
              <w:t>≦6万元</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5.952万元</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83"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135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指标2：不动产登记大楼互联网网络专线</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sz w:val="18"/>
                <w:szCs w:val="18"/>
              </w:rPr>
              <w:t>≦15.6万元</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15.5416万元</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49"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效益指标</w:t>
            </w:r>
          </w:p>
          <w:p>
            <w:pPr>
              <w:widowControl/>
              <w:spacing w:line="240" w:lineRule="exact"/>
              <w:ind w:firstLine="42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（30分）</w:t>
            </w: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w:t>
            </w:r>
          </w:p>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p>
        </w:tc>
        <w:tc>
          <w:tcPr>
            <w:tcW w:w="55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017"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社会效益指标</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指标1：移动OA政务办公系统网络专线、不动产登记大楼互联网网络专线配置率、覆盖率</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67"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生态效益指标</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p>
        </w:tc>
        <w:tc>
          <w:tcPr>
            <w:tcW w:w="559"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548" w:type="dxa"/>
            <w:tcBorders>
              <w:top w:val="nil"/>
              <w:left w:val="nil"/>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983"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ind w:firstLine="420"/>
              <w:jc w:val="center"/>
              <w:rPr>
                <w:rFonts w:asciiTheme="minorEastAsia" w:hAnsiTheme="minorEastAsia" w:eastAsiaTheme="minorEastAsia" w:cstheme="minorEastAsia"/>
                <w:kern w:val="0"/>
                <w:sz w:val="21"/>
                <w:szCs w:val="21"/>
              </w:rPr>
            </w:pP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可持续影响指标</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指标1;移动OA政务办公系统网络专线、不动产登记大楼互联网网络专线未出现故障，全年运行正常</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100%</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952" w:hRule="exact"/>
          <w:jc w:val="center"/>
        </w:trPr>
        <w:tc>
          <w:tcPr>
            <w:tcW w:w="640" w:type="dxa"/>
            <w:vMerge w:val="continue"/>
            <w:tcBorders>
              <w:left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c>
          <w:tcPr>
            <w:tcW w:w="915" w:type="dxa"/>
            <w:tcBorders>
              <w:top w:val="nil"/>
              <w:left w:val="single" w:color="auto" w:sz="4" w:space="0"/>
              <w:right w:val="single" w:color="auto" w:sz="4" w:space="0"/>
            </w:tcBorders>
            <w:noWrap/>
            <w:vAlign w:val="center"/>
          </w:tcPr>
          <w:p>
            <w:pPr>
              <w:widowControl/>
              <w:spacing w:line="240" w:lineRule="exact"/>
              <w:ind w:firstLine="0" w:firstLineChars="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满意度</w:t>
            </w:r>
          </w:p>
          <w:p>
            <w:pPr>
              <w:widowControl/>
              <w:spacing w:line="240" w:lineRule="exact"/>
              <w:ind w:firstLine="0" w:firstLineChars="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指标</w:t>
            </w:r>
          </w:p>
          <w:p>
            <w:pPr>
              <w:widowControl/>
              <w:spacing w:line="240" w:lineRule="exact"/>
              <w:ind w:firstLine="0" w:firstLineChars="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（10分）</w:t>
            </w:r>
          </w:p>
        </w:tc>
        <w:tc>
          <w:tcPr>
            <w:tcW w:w="1355" w:type="dxa"/>
            <w:tcBorders>
              <w:top w:val="nil"/>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服务对象满意度指标（10分）</w:t>
            </w:r>
          </w:p>
        </w:tc>
        <w:tc>
          <w:tcPr>
            <w:tcW w:w="2331" w:type="dxa"/>
            <w:gridSpan w:val="3"/>
            <w:tcBorders>
              <w:top w:val="single" w:color="auto" w:sz="4" w:space="0"/>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color w:val="000000"/>
                <w:kern w:val="0"/>
                <w:sz w:val="18"/>
                <w:szCs w:val="18"/>
              </w:rPr>
            </w:pPr>
            <w:r>
              <w:rPr>
                <w:rFonts w:hint="eastAsia" w:ascii="仿宋" w:hAnsi="仿宋" w:cs="仿宋"/>
                <w:sz w:val="18"/>
                <w:szCs w:val="18"/>
              </w:rPr>
              <w:t>指标1：不动产登记大楼各部门工作人员对不动产登记大楼网络专线使用的满意度</w:t>
            </w:r>
          </w:p>
        </w:tc>
        <w:tc>
          <w:tcPr>
            <w:tcW w:w="1254"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≥90%</w:t>
            </w:r>
          </w:p>
        </w:tc>
        <w:tc>
          <w:tcPr>
            <w:tcW w:w="1483" w:type="dxa"/>
            <w:tcBorders>
              <w:top w:val="nil"/>
              <w:left w:val="nil"/>
              <w:bottom w:val="single" w:color="auto" w:sz="4" w:space="0"/>
              <w:right w:val="single" w:color="auto" w:sz="4" w:space="0"/>
            </w:tcBorders>
            <w:noWrap/>
            <w:vAlign w:val="center"/>
          </w:tcPr>
          <w:p>
            <w:pPr>
              <w:widowControl/>
              <w:spacing w:line="240" w:lineRule="exact"/>
              <w:ind w:firstLine="360"/>
              <w:jc w:val="center"/>
              <w:rPr>
                <w:rFonts w:ascii="仿宋" w:hAnsi="仿宋" w:cs="仿宋"/>
                <w:kern w:val="0"/>
                <w:sz w:val="18"/>
                <w:szCs w:val="18"/>
              </w:rPr>
            </w:pPr>
            <w:r>
              <w:rPr>
                <w:rFonts w:hint="eastAsia" w:ascii="仿宋" w:hAnsi="仿宋" w:cs="仿宋"/>
                <w:kern w:val="0"/>
                <w:sz w:val="18"/>
                <w:szCs w:val="18"/>
              </w:rPr>
              <w:t>≥90%</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7978"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20"/>
              <w:jc w:val="center"/>
              <w:rPr>
                <w:rFonts w:ascii="黑体" w:hAnsi="宋体" w:eastAsia="黑体" w:cs="宋体"/>
                <w:color w:val="000000"/>
                <w:kern w:val="0"/>
                <w:szCs w:val="21"/>
              </w:rPr>
            </w:pPr>
            <w:r>
              <w:rPr>
                <w:rFonts w:hint="eastAsia" w:asciiTheme="minorEastAsia" w:hAnsiTheme="minorEastAsia" w:eastAsiaTheme="minorEastAsia" w:cstheme="minorEastAsia"/>
                <w:color w:val="000000"/>
                <w:kern w:val="0"/>
                <w:sz w:val="21"/>
                <w:szCs w:val="21"/>
              </w:rPr>
              <w:t>总分</w:t>
            </w:r>
          </w:p>
        </w:tc>
        <w:tc>
          <w:tcPr>
            <w:tcW w:w="559"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100</w:t>
            </w:r>
          </w:p>
        </w:tc>
        <w:tc>
          <w:tcPr>
            <w:tcW w:w="548" w:type="dxa"/>
            <w:tcBorders>
              <w:top w:val="nil"/>
              <w:left w:val="nil"/>
              <w:bottom w:val="single" w:color="auto" w:sz="4" w:space="0"/>
              <w:right w:val="single" w:color="auto" w:sz="4" w:space="0"/>
            </w:tcBorders>
            <w:noWrap/>
            <w:vAlign w:val="center"/>
          </w:tcPr>
          <w:p>
            <w:pPr>
              <w:widowControl/>
              <w:spacing w:line="240" w:lineRule="exact"/>
              <w:ind w:firstLine="0" w:firstLineChars="0"/>
              <w:jc w:val="center"/>
              <w:rPr>
                <w:rFonts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98</w:t>
            </w:r>
          </w:p>
        </w:tc>
        <w:tc>
          <w:tcPr>
            <w:tcW w:w="120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宋体" w:eastAsia="黑体" w:cs="宋体"/>
                <w:kern w:val="0"/>
                <w:szCs w:val="21"/>
              </w:rPr>
            </w:pPr>
          </w:p>
        </w:tc>
      </w:tr>
    </w:tbl>
    <w:p>
      <w:pPr>
        <w:numPr>
          <w:ilvl w:val="0"/>
          <w:numId w:val="5"/>
        </w:numPr>
        <w:ind w:firstLine="562"/>
        <w:jc w:val="left"/>
        <w:rPr>
          <w:rFonts w:ascii="仿宋" w:hAnsi="仿宋" w:cs="仿宋"/>
          <w:b/>
          <w:bCs/>
        </w:rPr>
      </w:pPr>
      <w:r>
        <w:rPr>
          <w:rFonts w:hint="eastAsia" w:ascii="仿宋" w:hAnsi="仿宋" w:cs="仿宋"/>
          <w:b/>
          <w:bCs/>
        </w:rPr>
        <w:t>绩效评价指标分析</w:t>
      </w:r>
    </w:p>
    <w:p>
      <w:pPr>
        <w:ind w:left="560" w:leftChars="200" w:firstLine="0" w:firstLineChars="0"/>
        <w:jc w:val="left"/>
        <w:rPr>
          <w:rFonts w:ascii="仿宋" w:hAnsi="仿宋" w:cs="仿宋"/>
          <w:b/>
          <w:bCs/>
        </w:rPr>
      </w:pPr>
      <w:r>
        <w:rPr>
          <w:rFonts w:ascii="仿宋" w:hAnsi="仿宋" w:cs="仿宋"/>
          <w:b/>
          <w:bCs/>
        </w:rPr>
        <w:t>(一)项目</w:t>
      </w:r>
      <w:r>
        <w:rPr>
          <w:rFonts w:hint="eastAsia" w:ascii="仿宋" w:hAnsi="仿宋" w:cs="仿宋"/>
          <w:b/>
          <w:bCs/>
        </w:rPr>
        <w:t>决策情况</w:t>
      </w:r>
    </w:p>
    <w:p>
      <w:pPr>
        <w:tabs>
          <w:tab w:val="left" w:pos="4065"/>
        </w:tabs>
        <w:spacing w:line="180" w:lineRule="auto"/>
        <w:rPr>
          <w:rFonts w:hint="eastAsia" w:ascii="仿宋" w:hAnsi="仿宋" w:eastAsia="仿宋" w:cs="仿宋"/>
          <w:lang w:eastAsia="zh-CN"/>
        </w:rPr>
      </w:pPr>
      <w:r>
        <w:rPr>
          <w:rFonts w:ascii="仿宋" w:hAnsi="仿宋" w:cs="仿宋"/>
          <w:b/>
          <w:bCs/>
        </w:rPr>
        <w:t>1、</w:t>
      </w:r>
      <w:r>
        <w:rPr>
          <w:rFonts w:ascii="仿宋" w:hAnsi="仿宋" w:cs="仿宋"/>
        </w:rPr>
        <w:t>项目立项规范</w:t>
      </w:r>
      <w:r>
        <w:rPr>
          <w:rFonts w:hint="eastAsia" w:ascii="仿宋" w:hAnsi="仿宋" w:cs="仿宋"/>
          <w:lang w:eastAsia="zh-CN"/>
        </w:rPr>
        <w:t>：</w:t>
      </w:r>
      <w:r>
        <w:rPr>
          <w:rFonts w:hint="eastAsia" w:ascii="仿宋" w:hAnsi="仿宋" w:cs="宋体"/>
          <w:bCs/>
          <w:color w:val="000000" w:themeColor="text1"/>
          <w:kern w:val="0"/>
          <w:szCs w:val="28"/>
        </w:rPr>
        <w:t>根据</w:t>
      </w:r>
      <w:r>
        <w:rPr>
          <w:rFonts w:hint="eastAsia" w:ascii="仿宋" w:hAnsi="仿宋" w:cs="仿宋"/>
          <w:szCs w:val="28"/>
        </w:rPr>
        <w:t>《关于将不动产登记大楼网络专线费用列入我局档案信息中心部门预算的申请》（洪国土资函〔2019〕148号）、南昌市财政局便函（洪财综便函〔2019〕42号）、《关于请求批准不动产登记大楼网络专线费用的请示》（洪国土资文〔2019〕89号）、南昌市人民政府办公厅抄告单（洪府厅抄字〔2019〕246号）</w:t>
      </w:r>
      <w:r>
        <w:rPr>
          <w:rFonts w:hint="eastAsia" w:ascii="仿宋" w:hAnsi="仿宋" w:cs="仿宋"/>
          <w:szCs w:val="28"/>
          <w:lang w:val="en-US" w:eastAsia="zh-CN"/>
        </w:rPr>
        <w:t>确立本项目</w:t>
      </w:r>
      <w:r>
        <w:rPr>
          <w:rFonts w:hint="eastAsia" w:ascii="仿宋" w:hAnsi="仿宋" w:cs="仿宋"/>
          <w:szCs w:val="28"/>
        </w:rPr>
        <w:t>，</w:t>
      </w:r>
      <w:r>
        <w:rPr>
          <w:rFonts w:hint="eastAsia"/>
          <w:szCs w:val="28"/>
        </w:rPr>
        <w:t>对</w:t>
      </w:r>
      <w:r>
        <w:rPr>
          <w:rFonts w:hint="eastAsia" w:ascii="仿宋" w:hAnsi="仿宋" w:cs="仿宋"/>
          <w:szCs w:val="28"/>
        </w:rPr>
        <w:t>2019年度不动产登记大楼网络专线经费项目</w:t>
      </w:r>
      <w:r>
        <w:rPr>
          <w:rFonts w:hint="eastAsia"/>
          <w:szCs w:val="28"/>
        </w:rPr>
        <w:t>按规定纳入政府集中采购，所需经费在财政预算安排的自然资源专项资金中列支。</w:t>
      </w:r>
      <w:r>
        <w:rPr>
          <w:rFonts w:ascii="仿宋" w:hAnsi="仿宋" w:cs="仿宋"/>
        </w:rPr>
        <w:t>设立项目预期目标</w:t>
      </w:r>
      <w:r>
        <w:rPr>
          <w:rFonts w:hint="eastAsia" w:ascii="仿宋" w:hAnsi="仿宋" w:cs="仿宋"/>
          <w:lang w:eastAsia="zh-CN"/>
        </w:rPr>
        <w:t>：</w:t>
      </w:r>
      <w:r>
        <w:rPr>
          <w:rFonts w:hint="eastAsia"/>
        </w:rPr>
        <w:t>通过采购不动产登记大楼网络专线，保障了我局办公网络正常，日常工作不受影响。</w:t>
      </w:r>
      <w:r>
        <w:rPr>
          <w:rFonts w:hint="eastAsia" w:ascii="仿宋" w:hAnsi="仿宋" w:eastAsia="仿宋" w:cs="仿宋"/>
        </w:rPr>
        <w:t>该项指标得2.5分</w:t>
      </w:r>
      <w:r>
        <w:rPr>
          <w:rFonts w:hint="eastAsia" w:ascii="仿宋" w:hAnsi="仿宋" w:cs="仿宋"/>
          <w:lang w:eastAsia="zh-CN"/>
        </w:rPr>
        <w:t>。</w:t>
      </w:r>
    </w:p>
    <w:p>
      <w:pPr>
        <w:ind w:firstLine="562"/>
        <w:jc w:val="left"/>
        <w:rPr>
          <w:rFonts w:hint="eastAsia" w:ascii="仿宋" w:hAnsi="仿宋" w:eastAsia="仿宋" w:cs="仿宋"/>
        </w:rPr>
      </w:pPr>
      <w:r>
        <w:rPr>
          <w:rFonts w:hint="eastAsia" w:ascii="仿宋" w:hAnsi="仿宋" w:eastAsia="仿宋" w:cs="仿宋"/>
          <w:b/>
          <w:bCs/>
        </w:rPr>
        <w:t>2、</w:t>
      </w:r>
      <w:r>
        <w:rPr>
          <w:rFonts w:hint="eastAsia" w:ascii="仿宋" w:hAnsi="仿宋" w:eastAsia="仿宋" w:cs="仿宋"/>
        </w:rPr>
        <w:t>预算资金执行率：(实际支出资金÷预算安排资金)×</w:t>
      </w:r>
      <w:r>
        <w:rPr>
          <w:rFonts w:hint="eastAsia" w:ascii="仿宋" w:hAnsi="仿宋" w:eastAsia="仿宋" w:cs="仿宋"/>
          <w:lang w:val="en-US" w:eastAsia="zh-CN"/>
        </w:rPr>
        <w:t>100%=（21.4936万元/21.6万元）</w:t>
      </w:r>
      <w:r>
        <w:rPr>
          <w:rFonts w:hint="eastAsia" w:ascii="仿宋" w:hAnsi="仿宋" w:eastAsia="仿宋" w:cs="仿宋"/>
        </w:rPr>
        <w:t>×100%=99.5%，</w:t>
      </w:r>
      <w:r>
        <w:rPr>
          <w:rFonts w:hint="eastAsia"/>
        </w:rPr>
        <w:t>其中，移动OA政务办公系统网络专线5.952万元、不动产登记大楼网络专线15.5416万元</w:t>
      </w:r>
      <w:r>
        <w:rPr>
          <w:rFonts w:hint="eastAsia"/>
          <w:lang w:eastAsia="zh-CN"/>
        </w:rPr>
        <w:t>，</w:t>
      </w:r>
      <w:r>
        <w:rPr>
          <w:rFonts w:hint="eastAsia" w:ascii="仿宋" w:hAnsi="仿宋" w:eastAsia="仿宋" w:cs="仿宋"/>
        </w:rPr>
        <w:t>该项指标得2.5分。</w:t>
      </w:r>
    </w:p>
    <w:p>
      <w:pPr>
        <w:ind w:firstLine="562"/>
        <w:jc w:val="left"/>
        <w:rPr>
          <w:rFonts w:hint="eastAsia" w:ascii="仿宋" w:hAnsi="仿宋" w:cs="仿宋"/>
          <w:b/>
          <w:bCs/>
        </w:rPr>
      </w:pPr>
      <w:r>
        <w:rPr>
          <w:rFonts w:hint="eastAsia" w:ascii="仿宋" w:hAnsi="仿宋" w:cs="仿宋"/>
          <w:b/>
          <w:bCs/>
        </w:rPr>
        <w:t>（二）</w:t>
      </w:r>
      <w:r>
        <w:rPr>
          <w:rFonts w:ascii="仿宋" w:hAnsi="仿宋" w:cs="仿宋"/>
          <w:b/>
          <w:bCs/>
        </w:rPr>
        <w:t>项目过程</w:t>
      </w:r>
      <w:r>
        <w:rPr>
          <w:rFonts w:hint="eastAsia" w:ascii="仿宋" w:hAnsi="仿宋" w:cs="仿宋"/>
          <w:b/>
          <w:bCs/>
        </w:rPr>
        <w:t>情况</w:t>
      </w:r>
    </w:p>
    <w:p>
      <w:pPr>
        <w:jc w:val="left"/>
        <w:rPr>
          <w:rFonts w:hint="default" w:ascii="仿宋" w:hAnsi="仿宋" w:eastAsia="仿宋" w:cs="仿宋"/>
          <w:b/>
          <w:bCs/>
          <w:lang w:val="en-US" w:eastAsia="zh-CN"/>
        </w:rPr>
      </w:pPr>
      <w:r>
        <w:rPr>
          <w:rFonts w:hint="eastAsia" w:ascii="仿宋" w:hAnsi="仿宋" w:cs="仿宋"/>
          <w:b w:val="0"/>
          <w:bCs w:val="0"/>
          <w:lang w:val="en-US" w:eastAsia="zh-CN"/>
        </w:rPr>
        <w:t>1、业务管理</w:t>
      </w:r>
    </w:p>
    <w:p>
      <w:pPr>
        <w:rPr>
          <w:rFonts w:hint="eastAsia" w:eastAsia="仿宋"/>
          <w:lang w:eastAsia="zh-CN"/>
        </w:rPr>
      </w:pPr>
      <w:r>
        <w:rPr>
          <w:rFonts w:ascii="仿宋" w:hAnsi="仿宋" w:cs="仿宋"/>
        </w:rPr>
        <w:t>(1)管理制度健</w:t>
      </w:r>
      <w:r>
        <w:rPr>
          <w:rFonts w:hint="eastAsia" w:ascii="仿宋" w:hAnsi="仿宋" w:cs="仿宋"/>
        </w:rPr>
        <w:t>全</w:t>
      </w:r>
      <w:r>
        <w:rPr>
          <w:rFonts w:ascii="仿宋" w:hAnsi="仿宋" w:cs="仿宋"/>
        </w:rPr>
        <w:t>性</w:t>
      </w:r>
      <w:r>
        <w:rPr>
          <w:rFonts w:hint="eastAsia" w:ascii="仿宋" w:hAnsi="仿宋" w:cs="仿宋"/>
          <w:lang w:eastAsia="zh-CN"/>
        </w:rPr>
        <w:t>：</w:t>
      </w:r>
      <w:r>
        <w:rPr>
          <w:rFonts w:hint="eastAsia" w:ascii="仿宋" w:hAnsi="仿宋" w:cs="仿宋"/>
          <w:lang w:val="en-US" w:eastAsia="zh-CN"/>
        </w:rPr>
        <w:t>信息技术科负责项目具体业务，制订了</w:t>
      </w:r>
      <w:r>
        <w:rPr>
          <w:rFonts w:hint="eastAsia"/>
        </w:rPr>
        <w:t>《档案信息中心政府采购</w:t>
      </w:r>
      <w:r>
        <w:rPr>
          <w:rFonts w:hint="eastAsia"/>
          <w:lang w:val="en-US" w:eastAsia="zh-CN"/>
        </w:rPr>
        <w:t>暂</w:t>
      </w:r>
      <w:r>
        <w:rPr>
          <w:rFonts w:hint="eastAsia"/>
        </w:rPr>
        <w:t>行管理制度》</w:t>
      </w:r>
      <w:r>
        <w:rPr>
          <w:rFonts w:hint="eastAsia"/>
          <w:lang w:eastAsia="zh-CN"/>
        </w:rPr>
        <w:t>；</w:t>
      </w:r>
    </w:p>
    <w:p>
      <w:pPr>
        <w:rPr>
          <w:rFonts w:ascii="仿宋" w:hAnsi="仿宋" w:cs="仿宋"/>
        </w:rPr>
      </w:pPr>
      <w:r>
        <w:rPr>
          <w:rFonts w:ascii="仿宋" w:hAnsi="仿宋" w:cs="仿宋"/>
        </w:rPr>
        <w:t>(2)项目质量可控性</w:t>
      </w:r>
      <w:r>
        <w:rPr>
          <w:rFonts w:hint="eastAsia" w:ascii="仿宋" w:hAnsi="仿宋" w:cs="仿宋"/>
          <w:lang w:eastAsia="zh-CN"/>
        </w:rPr>
        <w:t>：</w:t>
      </w:r>
      <w:r>
        <w:rPr>
          <w:rFonts w:hint="eastAsia" w:ascii="仿宋" w:hAnsi="仿宋" w:cs="仿宋"/>
          <w:lang w:val="en-US" w:eastAsia="zh-CN"/>
        </w:rPr>
        <w:t>按照《互联网专线采购合同》及《移动OA政务办公系统网络专线采购合同》约定，采购的网络专线已达到</w:t>
      </w:r>
      <w:r>
        <w:rPr>
          <w:rFonts w:ascii="仿宋" w:hAnsi="仿宋" w:cs="仿宋"/>
        </w:rPr>
        <w:t>相应的质量要求</w:t>
      </w:r>
      <w:r>
        <w:rPr>
          <w:rFonts w:hint="eastAsia" w:ascii="仿宋" w:hAnsi="仿宋" w:cs="仿宋"/>
          <w:lang w:val="en-US" w:eastAsia="zh-CN"/>
        </w:rPr>
        <w:t>并投入使用</w:t>
      </w:r>
      <w:r>
        <w:rPr>
          <w:rFonts w:ascii="仿宋" w:hAnsi="仿宋" w:cs="仿宋"/>
        </w:rPr>
        <w:t>。</w:t>
      </w:r>
    </w:p>
    <w:p>
      <w:pPr>
        <w:rPr>
          <w:rFonts w:hint="eastAsia" w:ascii="仿宋" w:hAnsi="仿宋" w:cs="仿宋"/>
          <w:lang w:val="en-US" w:eastAsia="zh-CN"/>
        </w:rPr>
      </w:pPr>
      <w:r>
        <w:rPr>
          <w:rFonts w:hint="eastAsia" w:ascii="仿宋" w:hAnsi="仿宋" w:cs="仿宋"/>
          <w:lang w:val="en-US" w:eastAsia="zh-CN"/>
        </w:rPr>
        <w:t>2、财务管理</w:t>
      </w:r>
    </w:p>
    <w:p>
      <w:pPr>
        <w:rPr>
          <w:rFonts w:hint="default" w:ascii="仿宋" w:hAnsi="仿宋" w:cs="仿宋"/>
          <w:lang w:val="en-US" w:eastAsia="zh-CN"/>
        </w:rPr>
      </w:pPr>
      <w:r>
        <w:rPr>
          <w:rFonts w:hint="eastAsia" w:ascii="仿宋" w:hAnsi="仿宋" w:cs="仿宋"/>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p>
    <w:p>
      <w:pPr>
        <w:ind w:firstLine="562"/>
        <w:rPr>
          <w:rFonts w:ascii="仿宋" w:hAnsi="仿宋" w:cs="仿宋"/>
          <w:b/>
          <w:bCs/>
        </w:rPr>
      </w:pPr>
      <w:r>
        <w:rPr>
          <w:rFonts w:ascii="仿宋" w:hAnsi="仿宋" w:cs="仿宋"/>
          <w:b/>
          <w:bCs/>
        </w:rPr>
        <w:t>(三)项目产出</w:t>
      </w:r>
      <w:r>
        <w:rPr>
          <w:rFonts w:hint="eastAsia" w:ascii="仿宋" w:hAnsi="仿宋" w:cs="仿宋"/>
          <w:b/>
          <w:bCs/>
        </w:rPr>
        <w:t>情况</w:t>
      </w:r>
    </w:p>
    <w:p>
      <w:pPr>
        <w:rPr>
          <w:rFonts w:ascii="仿宋" w:hAnsi="仿宋" w:cs="仿宋"/>
        </w:rPr>
      </w:pPr>
      <w:r>
        <w:rPr>
          <w:rFonts w:ascii="仿宋" w:hAnsi="仿宋" w:cs="仿宋"/>
        </w:rPr>
        <w:t>(1)</w:t>
      </w:r>
      <w:r>
        <w:rPr>
          <w:rFonts w:hint="eastAsia" w:ascii="仿宋" w:hAnsi="仿宋" w:cs="仿宋"/>
        </w:rPr>
        <w:t>移动OA办公系统网络专线</w:t>
      </w:r>
      <w:r>
        <w:rPr>
          <w:rFonts w:ascii="仿宋" w:hAnsi="仿宋" w:cs="仿宋"/>
        </w:rPr>
        <w:t>(1</w:t>
      </w:r>
      <w:r>
        <w:rPr>
          <w:rFonts w:hint="eastAsia" w:ascii="仿宋" w:hAnsi="仿宋" w:cs="仿宋"/>
        </w:rPr>
        <w:t>0</w:t>
      </w:r>
      <w:r>
        <w:rPr>
          <w:rFonts w:ascii="仿宋" w:hAnsi="仿宋" w:cs="仿宋"/>
        </w:rPr>
        <w:t>分)</w:t>
      </w:r>
    </w:p>
    <w:p>
      <w:pPr>
        <w:rPr>
          <w:rFonts w:ascii="仿宋" w:hAnsi="仿宋" w:cs="仿宋"/>
        </w:rPr>
      </w:pPr>
      <w:r>
        <w:rPr>
          <w:rFonts w:hint="eastAsia" w:ascii="仿宋" w:hAnsi="仿宋" w:cs="仿宋"/>
        </w:rPr>
        <w:t>采购</w:t>
      </w:r>
      <w:r>
        <w:rPr>
          <w:rFonts w:ascii="仿宋" w:hAnsi="仿宋" w:cs="仿宋"/>
        </w:rPr>
        <w:t>完成率= (实际</w:t>
      </w:r>
      <w:r>
        <w:rPr>
          <w:rFonts w:hint="eastAsia" w:ascii="仿宋" w:hAnsi="仿宋" w:cs="仿宋"/>
        </w:rPr>
        <w:t>采购专线</w:t>
      </w:r>
      <w:r>
        <w:rPr>
          <w:rFonts w:ascii="仿宋" w:hAnsi="仿宋" w:cs="仿宋"/>
        </w:rPr>
        <w:t>数量</w:t>
      </w:r>
      <w:r>
        <w:rPr>
          <w:rFonts w:ascii="Arial" w:hAnsi="Arial" w:cs="Arial"/>
        </w:rPr>
        <w:t>÷</w:t>
      </w:r>
      <w:r>
        <w:rPr>
          <w:rFonts w:ascii="仿宋" w:hAnsi="仿宋" w:cs="仿宋"/>
        </w:rPr>
        <w:t>计划</w:t>
      </w:r>
      <w:r>
        <w:rPr>
          <w:rFonts w:hint="eastAsia" w:ascii="仿宋" w:hAnsi="仿宋" w:cs="仿宋"/>
        </w:rPr>
        <w:t>采购专线</w:t>
      </w:r>
      <w:r>
        <w:rPr>
          <w:rFonts w:ascii="仿宋" w:hAnsi="仿宋" w:cs="仿宋"/>
        </w:rPr>
        <w:t>数量)</w:t>
      </w:r>
      <w:r>
        <w:rPr>
          <w:rFonts w:ascii="Arial" w:hAnsi="Arial" w:cs="Arial"/>
        </w:rPr>
        <w:t>×</w:t>
      </w:r>
      <w:r>
        <w:rPr>
          <w:rFonts w:ascii="仿宋" w:hAnsi="仿宋" w:cs="仿宋"/>
        </w:rPr>
        <w:t xml:space="preserve">100% </w:t>
      </w:r>
      <w:r>
        <w:rPr>
          <w:rFonts w:hint="eastAsia" w:ascii="仿宋" w:hAnsi="仿宋" w:cs="仿宋"/>
        </w:rPr>
        <w:t>=</w:t>
      </w:r>
      <w:r>
        <w:rPr>
          <w:rFonts w:ascii="仿宋" w:hAnsi="仿宋" w:cs="仿宋"/>
        </w:rPr>
        <w:t>(</w:t>
      </w:r>
      <w:r>
        <w:rPr>
          <w:rFonts w:hint="eastAsia" w:ascii="仿宋" w:hAnsi="仿宋" w:cs="仿宋"/>
        </w:rPr>
        <w:t>1</w:t>
      </w:r>
      <w:r>
        <w:rPr>
          <w:rFonts w:ascii="Arial" w:hAnsi="Arial" w:cs="Arial"/>
        </w:rPr>
        <w:t>÷</w:t>
      </w:r>
      <w:r>
        <w:rPr>
          <w:rFonts w:hint="eastAsia" w:ascii="Arial" w:hAnsi="Arial" w:cs="Arial"/>
        </w:rPr>
        <w:t>1</w:t>
      </w:r>
      <w:r>
        <w:rPr>
          <w:rFonts w:ascii="仿宋" w:hAnsi="仿宋" w:cs="仿宋"/>
        </w:rPr>
        <w:t>)</w:t>
      </w:r>
      <w:r>
        <w:rPr>
          <w:rFonts w:ascii="Arial" w:hAnsi="Arial" w:cs="Arial"/>
        </w:rPr>
        <w:t>×</w:t>
      </w:r>
      <w:r>
        <w:rPr>
          <w:rFonts w:ascii="仿宋" w:hAnsi="仿宋" w:cs="仿宋"/>
        </w:rPr>
        <w:t xml:space="preserve"> 100</w:t>
      </w:r>
      <w:r>
        <w:rPr>
          <w:rFonts w:hint="eastAsia" w:ascii="仿宋" w:hAnsi="仿宋" w:cs="仿宋"/>
        </w:rPr>
        <w:t>%=100%，</w:t>
      </w:r>
      <w:r>
        <w:rPr>
          <w:rFonts w:ascii="仿宋" w:hAnsi="仿宋" w:cs="仿宋"/>
        </w:rPr>
        <w:t>根据评分标准，该项指标得1</w:t>
      </w:r>
      <w:r>
        <w:rPr>
          <w:rFonts w:hint="eastAsia" w:ascii="仿宋" w:hAnsi="仿宋" w:cs="仿宋"/>
        </w:rPr>
        <w:t>0</w:t>
      </w:r>
      <w:r>
        <w:rPr>
          <w:rFonts w:ascii="仿宋" w:hAnsi="仿宋" w:cs="仿宋"/>
        </w:rPr>
        <w:t>分。</w:t>
      </w:r>
    </w:p>
    <w:p>
      <w:pPr>
        <w:rPr>
          <w:rFonts w:ascii="仿宋" w:hAnsi="仿宋" w:cs="仿宋"/>
        </w:rPr>
      </w:pPr>
      <w:r>
        <w:rPr>
          <w:rFonts w:ascii="仿宋" w:hAnsi="仿宋" w:cs="仿宋"/>
        </w:rPr>
        <w:t>(2)</w:t>
      </w:r>
      <w:r>
        <w:rPr>
          <w:rFonts w:hint="eastAsia" w:ascii="仿宋" w:hAnsi="仿宋" w:cs="仿宋"/>
        </w:rPr>
        <w:t>不动产登记大楼互联网专线</w:t>
      </w:r>
      <w:r>
        <w:rPr>
          <w:rFonts w:ascii="仿宋" w:hAnsi="仿宋" w:cs="仿宋"/>
        </w:rPr>
        <w:t>(1</w:t>
      </w:r>
      <w:r>
        <w:rPr>
          <w:rFonts w:hint="eastAsia" w:ascii="仿宋" w:hAnsi="仿宋" w:cs="仿宋"/>
        </w:rPr>
        <w:t>0</w:t>
      </w:r>
      <w:r>
        <w:rPr>
          <w:rFonts w:ascii="仿宋" w:hAnsi="仿宋" w:cs="仿宋"/>
        </w:rPr>
        <w:t>分)</w:t>
      </w:r>
    </w:p>
    <w:p>
      <w:pPr>
        <w:rPr>
          <w:rFonts w:ascii="仿宋" w:hAnsi="仿宋" w:cs="仿宋"/>
        </w:rPr>
      </w:pPr>
      <w:r>
        <w:rPr>
          <w:rFonts w:hint="eastAsia" w:ascii="仿宋" w:hAnsi="仿宋" w:cs="仿宋"/>
        </w:rPr>
        <w:t>采购</w:t>
      </w:r>
      <w:r>
        <w:rPr>
          <w:rFonts w:ascii="仿宋" w:hAnsi="仿宋" w:cs="仿宋"/>
        </w:rPr>
        <w:t>完成率= (实际</w:t>
      </w:r>
      <w:r>
        <w:rPr>
          <w:rFonts w:hint="eastAsia" w:ascii="仿宋" w:hAnsi="仿宋" w:cs="仿宋"/>
        </w:rPr>
        <w:t>采购专线</w:t>
      </w:r>
      <w:r>
        <w:rPr>
          <w:rFonts w:ascii="仿宋" w:hAnsi="仿宋" w:cs="仿宋"/>
        </w:rPr>
        <w:t>数量</w:t>
      </w:r>
      <w:r>
        <w:rPr>
          <w:rFonts w:ascii="Arial" w:hAnsi="Arial" w:cs="Arial"/>
        </w:rPr>
        <w:t>÷</w:t>
      </w:r>
      <w:r>
        <w:rPr>
          <w:rFonts w:ascii="仿宋" w:hAnsi="仿宋" w:cs="仿宋"/>
        </w:rPr>
        <w:t>计划</w:t>
      </w:r>
      <w:r>
        <w:rPr>
          <w:rFonts w:hint="eastAsia" w:ascii="仿宋" w:hAnsi="仿宋" w:cs="仿宋"/>
        </w:rPr>
        <w:t>采购专线</w:t>
      </w:r>
      <w:r>
        <w:rPr>
          <w:rFonts w:ascii="仿宋" w:hAnsi="仿宋" w:cs="仿宋"/>
        </w:rPr>
        <w:t>数量)</w:t>
      </w:r>
      <w:r>
        <w:rPr>
          <w:rFonts w:ascii="Arial" w:hAnsi="Arial" w:cs="Arial"/>
        </w:rPr>
        <w:t>×</w:t>
      </w:r>
      <w:r>
        <w:rPr>
          <w:rFonts w:ascii="仿宋" w:hAnsi="仿宋" w:cs="仿宋"/>
        </w:rPr>
        <w:t xml:space="preserve">100% </w:t>
      </w:r>
      <w:r>
        <w:rPr>
          <w:rFonts w:hint="eastAsia" w:ascii="仿宋" w:hAnsi="仿宋" w:cs="仿宋"/>
        </w:rPr>
        <w:t>=</w:t>
      </w:r>
      <w:r>
        <w:rPr>
          <w:rFonts w:ascii="仿宋" w:hAnsi="仿宋" w:cs="仿宋"/>
        </w:rPr>
        <w:t>(</w:t>
      </w:r>
      <w:r>
        <w:rPr>
          <w:rFonts w:hint="eastAsia" w:ascii="仿宋" w:hAnsi="仿宋" w:cs="仿宋"/>
        </w:rPr>
        <w:t>1</w:t>
      </w:r>
      <w:r>
        <w:rPr>
          <w:rFonts w:ascii="Arial" w:hAnsi="Arial" w:cs="Arial"/>
        </w:rPr>
        <w:t>÷</w:t>
      </w:r>
      <w:r>
        <w:rPr>
          <w:rFonts w:hint="eastAsia" w:ascii="Arial" w:hAnsi="Arial" w:cs="Arial"/>
        </w:rPr>
        <w:t>1</w:t>
      </w:r>
      <w:r>
        <w:rPr>
          <w:rFonts w:ascii="仿宋" w:hAnsi="仿宋" w:cs="仿宋"/>
        </w:rPr>
        <w:t>)</w:t>
      </w:r>
      <w:r>
        <w:rPr>
          <w:rFonts w:ascii="Arial" w:hAnsi="Arial" w:cs="Arial"/>
        </w:rPr>
        <w:t>×</w:t>
      </w:r>
      <w:r>
        <w:rPr>
          <w:rFonts w:ascii="仿宋" w:hAnsi="仿宋" w:cs="仿宋"/>
        </w:rPr>
        <w:t xml:space="preserve"> 100</w:t>
      </w:r>
      <w:r>
        <w:rPr>
          <w:rFonts w:hint="eastAsia" w:ascii="仿宋" w:hAnsi="仿宋" w:cs="仿宋"/>
        </w:rPr>
        <w:t>%=100%，</w:t>
      </w:r>
      <w:r>
        <w:rPr>
          <w:rFonts w:ascii="仿宋" w:hAnsi="仿宋" w:cs="仿宋"/>
        </w:rPr>
        <w:t>根据评分标准，该项指标得1</w:t>
      </w:r>
      <w:r>
        <w:rPr>
          <w:rFonts w:hint="eastAsia" w:ascii="仿宋" w:hAnsi="仿宋" w:cs="仿宋"/>
        </w:rPr>
        <w:t>0</w:t>
      </w:r>
      <w:r>
        <w:rPr>
          <w:rFonts w:ascii="仿宋" w:hAnsi="仿宋" w:cs="仿宋"/>
        </w:rPr>
        <w:t>分。</w:t>
      </w:r>
    </w:p>
    <w:p>
      <w:pPr>
        <w:numPr>
          <w:ilvl w:val="0"/>
          <w:numId w:val="6"/>
        </w:numPr>
        <w:ind w:firstLine="562"/>
        <w:rPr>
          <w:rFonts w:ascii="仿宋" w:hAnsi="仿宋" w:cs="仿宋"/>
          <w:b/>
          <w:bCs/>
        </w:rPr>
      </w:pPr>
      <w:r>
        <w:rPr>
          <w:rFonts w:ascii="仿宋" w:hAnsi="仿宋" w:cs="仿宋"/>
          <w:b/>
          <w:bCs/>
        </w:rPr>
        <w:t>产出质量情况( 15分)</w:t>
      </w:r>
      <w:r>
        <w:rPr>
          <w:rFonts w:hint="eastAsia" w:ascii="仿宋" w:hAnsi="仿宋" w:cs="仿宋"/>
          <w:b/>
          <w:bCs/>
        </w:rPr>
        <w:t>，</w:t>
      </w:r>
      <w:r>
        <w:rPr>
          <w:rFonts w:ascii="仿宋" w:hAnsi="仿宋" w:cs="仿宋"/>
          <w:b/>
          <w:bCs/>
        </w:rPr>
        <w:t>该指标评</w:t>
      </w:r>
      <w:r>
        <w:rPr>
          <w:rFonts w:hint="eastAsia" w:ascii="仿宋" w:hAnsi="仿宋" w:cs="仿宋"/>
          <w:b/>
          <w:bCs/>
        </w:rPr>
        <w:t>价</w:t>
      </w:r>
      <w:r>
        <w:rPr>
          <w:rFonts w:ascii="仿宋" w:hAnsi="仿宋" w:cs="仿宋"/>
          <w:b/>
          <w:bCs/>
        </w:rPr>
        <w:t>得分为</w:t>
      </w:r>
      <w:r>
        <w:rPr>
          <w:rFonts w:hint="eastAsia" w:ascii="仿宋" w:hAnsi="仿宋" w:cs="仿宋"/>
          <w:b/>
          <w:bCs/>
        </w:rPr>
        <w:t>15</w:t>
      </w:r>
      <w:r>
        <w:rPr>
          <w:rFonts w:ascii="仿宋" w:hAnsi="仿宋" w:cs="仿宋"/>
          <w:b/>
          <w:bCs/>
        </w:rPr>
        <w:t>分。</w:t>
      </w:r>
    </w:p>
    <w:p>
      <w:pPr>
        <w:rPr>
          <w:rFonts w:ascii="仿宋" w:hAnsi="仿宋" w:cs="仿宋"/>
        </w:rPr>
      </w:pPr>
      <w:r>
        <w:rPr>
          <w:rFonts w:ascii="仿宋" w:hAnsi="仿宋" w:cs="仿宋"/>
        </w:rPr>
        <w:t>(1)</w:t>
      </w:r>
      <w:r>
        <w:rPr>
          <w:rFonts w:hint="eastAsia" w:ascii="仿宋" w:hAnsi="仿宋" w:cs="仿宋"/>
        </w:rPr>
        <w:t xml:space="preserve"> 网络专线传输速</w:t>
      </w:r>
      <w:r>
        <w:rPr>
          <w:rFonts w:ascii="仿宋" w:hAnsi="仿宋" w:cs="仿宋"/>
        </w:rPr>
        <w:t>率(</w:t>
      </w:r>
      <w:r>
        <w:rPr>
          <w:rFonts w:hint="eastAsia" w:ascii="仿宋" w:hAnsi="仿宋" w:cs="仿宋"/>
        </w:rPr>
        <w:t>7.5</w:t>
      </w:r>
      <w:r>
        <w:rPr>
          <w:rFonts w:ascii="仿宋" w:hAnsi="仿宋" w:cs="仿宋"/>
        </w:rPr>
        <w:t>分)</w:t>
      </w:r>
    </w:p>
    <w:p>
      <w:pPr>
        <w:rPr>
          <w:rFonts w:ascii="仿宋" w:hAnsi="仿宋" w:cs="仿宋"/>
        </w:rPr>
      </w:pPr>
      <w:r>
        <w:rPr>
          <w:rFonts w:hint="eastAsia" w:ascii="仿宋" w:hAnsi="仿宋" w:cs="仿宋"/>
        </w:rPr>
        <w:t>移动OA办公系统网络专线传输速率计划</w:t>
      </w:r>
      <w:r>
        <w:rPr>
          <w:rFonts w:hint="eastAsia" w:ascii="仿宋" w:hAnsi="仿宋" w:cs="仿宋"/>
          <w:kern w:val="0"/>
          <w:szCs w:val="28"/>
        </w:rPr>
        <w:t>≥100M，实际≥100M；</w:t>
      </w:r>
      <w:r>
        <w:rPr>
          <w:rFonts w:hint="eastAsia" w:ascii="仿宋" w:hAnsi="仿宋" w:cs="仿宋"/>
        </w:rPr>
        <w:t>不动产登记大楼互联网专线传输速率计划</w:t>
      </w:r>
      <w:r>
        <w:rPr>
          <w:rFonts w:hint="eastAsia" w:ascii="仿宋" w:hAnsi="仿宋" w:cs="仿宋"/>
          <w:kern w:val="0"/>
          <w:szCs w:val="28"/>
        </w:rPr>
        <w:t>≥150M，实际≥150M；</w:t>
      </w:r>
      <w:r>
        <w:rPr>
          <w:rFonts w:ascii="仿宋" w:hAnsi="仿宋" w:cs="仿宋"/>
        </w:rPr>
        <w:t>根据评分标准，该项指标得</w:t>
      </w:r>
      <w:r>
        <w:rPr>
          <w:rFonts w:hint="eastAsia" w:ascii="仿宋" w:hAnsi="仿宋" w:cs="仿宋"/>
        </w:rPr>
        <w:t>8</w:t>
      </w:r>
      <w:r>
        <w:rPr>
          <w:rFonts w:ascii="仿宋" w:hAnsi="仿宋" w:cs="仿宋"/>
        </w:rPr>
        <w:t>分。</w:t>
      </w:r>
    </w:p>
    <w:p>
      <w:pPr>
        <w:rPr>
          <w:rFonts w:ascii="仿宋" w:hAnsi="仿宋" w:cs="仿宋"/>
        </w:rPr>
      </w:pPr>
      <w:r>
        <w:rPr>
          <w:rFonts w:ascii="仿宋" w:hAnsi="仿宋" w:cs="仿宋"/>
        </w:rPr>
        <w:t>(</w:t>
      </w:r>
      <w:r>
        <w:rPr>
          <w:rFonts w:hint="eastAsia" w:ascii="仿宋" w:hAnsi="仿宋" w:cs="仿宋"/>
        </w:rPr>
        <w:t>2</w:t>
      </w:r>
      <w:r>
        <w:rPr>
          <w:rFonts w:ascii="仿宋" w:hAnsi="仿宋" w:cs="仿宋"/>
        </w:rPr>
        <w:t>)</w:t>
      </w:r>
      <w:r>
        <w:rPr>
          <w:rFonts w:hint="eastAsia" w:ascii="仿宋" w:hAnsi="仿宋" w:cs="仿宋"/>
        </w:rPr>
        <w:t xml:space="preserve"> 网络专线安全、性能稳定程度</w:t>
      </w:r>
      <w:r>
        <w:rPr>
          <w:rFonts w:ascii="仿宋" w:hAnsi="仿宋" w:cs="仿宋"/>
        </w:rPr>
        <w:t>(</w:t>
      </w:r>
      <w:r>
        <w:rPr>
          <w:rFonts w:hint="eastAsia" w:ascii="仿宋" w:hAnsi="仿宋" w:cs="仿宋"/>
        </w:rPr>
        <w:t>7.5</w:t>
      </w:r>
      <w:r>
        <w:rPr>
          <w:rFonts w:ascii="仿宋" w:hAnsi="仿宋" w:cs="仿宋"/>
        </w:rPr>
        <w:t>分)</w:t>
      </w:r>
    </w:p>
    <w:p>
      <w:pPr>
        <w:rPr>
          <w:rFonts w:ascii="仿宋" w:hAnsi="仿宋" w:cs="仿宋"/>
        </w:rPr>
      </w:pPr>
      <w:r>
        <w:rPr>
          <w:rFonts w:hint="eastAsia" w:ascii="仿宋" w:hAnsi="仿宋" w:cs="仿宋"/>
        </w:rPr>
        <w:t>移动OA办公系统网络专线、不动产登记大楼互联网专线安全、性能稳定程度计划</w:t>
      </w:r>
      <w:r>
        <w:rPr>
          <w:rFonts w:hint="eastAsia" w:ascii="仿宋" w:hAnsi="仿宋" w:cs="仿宋"/>
          <w:kern w:val="0"/>
          <w:szCs w:val="28"/>
        </w:rPr>
        <w:t>≥95%，实际≥95%。</w:t>
      </w:r>
      <w:r>
        <w:rPr>
          <w:rFonts w:ascii="仿宋" w:hAnsi="仿宋" w:cs="仿宋"/>
        </w:rPr>
        <w:t>根据评分标准，该项指标得</w:t>
      </w:r>
      <w:r>
        <w:rPr>
          <w:rFonts w:hint="eastAsia" w:ascii="仿宋" w:hAnsi="仿宋" w:cs="仿宋"/>
        </w:rPr>
        <w:t>7</w:t>
      </w:r>
      <w:r>
        <w:rPr>
          <w:rFonts w:ascii="仿宋" w:hAnsi="仿宋" w:cs="仿宋"/>
        </w:rPr>
        <w:t>分。</w:t>
      </w:r>
    </w:p>
    <w:p>
      <w:pPr>
        <w:ind w:firstLine="562"/>
        <w:rPr>
          <w:rFonts w:ascii="仿宋" w:hAnsi="仿宋" w:cs="仿宋"/>
          <w:b/>
          <w:bCs/>
        </w:rPr>
      </w:pPr>
      <w:r>
        <w:rPr>
          <w:rFonts w:ascii="仿宋" w:hAnsi="仿宋" w:cs="仿宋"/>
          <w:b/>
          <w:bCs/>
        </w:rPr>
        <w:t>3、产出时效情况(5分)，该项指标得5分。</w:t>
      </w:r>
    </w:p>
    <w:p>
      <w:pPr>
        <w:rPr>
          <w:rFonts w:ascii="仿宋" w:hAnsi="仿宋" w:cs="仿宋"/>
        </w:rPr>
      </w:pPr>
      <w:r>
        <w:rPr>
          <w:rFonts w:ascii="仿宋" w:hAnsi="仿宋" w:cs="仿宋"/>
        </w:rPr>
        <w:t>201</w:t>
      </w:r>
      <w:r>
        <w:rPr>
          <w:rFonts w:hint="eastAsia" w:ascii="仿宋" w:hAnsi="仿宋" w:cs="仿宋"/>
        </w:rPr>
        <w:t>9</w:t>
      </w:r>
      <w:r>
        <w:rPr>
          <w:rFonts w:ascii="仿宋" w:hAnsi="仿宋" w:cs="仿宋"/>
        </w:rPr>
        <w:t>年底，全面按时完成工作目标，该项指标得5分。</w:t>
      </w:r>
    </w:p>
    <w:p>
      <w:pPr>
        <w:ind w:firstLine="562"/>
        <w:rPr>
          <w:rFonts w:ascii="仿宋" w:hAnsi="仿宋" w:cs="仿宋"/>
          <w:b/>
          <w:bCs/>
        </w:rPr>
      </w:pPr>
      <w:r>
        <w:rPr>
          <w:rFonts w:ascii="仿宋" w:hAnsi="仿宋" w:cs="仿宋"/>
          <w:b/>
          <w:bCs/>
        </w:rPr>
        <w:t>4、产出成本情况(</w:t>
      </w:r>
      <w:r>
        <w:rPr>
          <w:rFonts w:hint="eastAsia" w:ascii="仿宋" w:hAnsi="仿宋" w:cs="仿宋"/>
          <w:b/>
          <w:bCs/>
        </w:rPr>
        <w:t>10</w:t>
      </w:r>
      <w:r>
        <w:rPr>
          <w:rFonts w:ascii="仿宋" w:hAnsi="仿宋" w:cs="仿宋"/>
          <w:b/>
          <w:bCs/>
        </w:rPr>
        <w:t>分)，该项指标评价得分为</w:t>
      </w:r>
      <w:r>
        <w:rPr>
          <w:rFonts w:hint="eastAsia" w:ascii="仿宋" w:hAnsi="仿宋" w:cs="仿宋"/>
          <w:b/>
          <w:bCs/>
        </w:rPr>
        <w:t>10</w:t>
      </w:r>
      <w:r>
        <w:rPr>
          <w:rFonts w:ascii="仿宋" w:hAnsi="仿宋" w:cs="仿宋"/>
          <w:b/>
          <w:bCs/>
        </w:rPr>
        <w:t>分。</w:t>
      </w:r>
    </w:p>
    <w:p>
      <w:pPr>
        <w:rPr>
          <w:rFonts w:ascii="仿宋" w:hAnsi="仿宋" w:cs="仿宋"/>
        </w:rPr>
      </w:pPr>
      <w:r>
        <w:rPr>
          <w:rFonts w:ascii="仿宋" w:hAnsi="仿宋" w:cs="仿宋"/>
        </w:rPr>
        <w:t>该项目实际支出</w:t>
      </w:r>
      <w:r>
        <w:rPr>
          <w:rFonts w:hint="eastAsia" w:ascii="仿宋" w:hAnsi="仿宋" w:cs="仿宋"/>
        </w:rPr>
        <w:t>21.4936</w:t>
      </w:r>
      <w:r>
        <w:rPr>
          <w:rFonts w:ascii="仿宋" w:hAnsi="仿宋" w:cs="仿宋"/>
        </w:rPr>
        <w:t>万元，在预算安排资金</w:t>
      </w:r>
      <w:r>
        <w:rPr>
          <w:rFonts w:hint="eastAsia" w:ascii="仿宋" w:hAnsi="仿宋" w:cs="仿宋"/>
        </w:rPr>
        <w:t>21.6</w:t>
      </w:r>
      <w:r>
        <w:rPr>
          <w:rFonts w:ascii="仿宋" w:hAnsi="仿宋" w:cs="仿宋"/>
        </w:rPr>
        <w:t>万元范围内</w:t>
      </w:r>
      <w:r>
        <w:rPr>
          <w:rFonts w:hint="eastAsia" w:ascii="仿宋" w:hAnsi="仿宋" w:cs="仿宋"/>
        </w:rPr>
        <w:t>，</w:t>
      </w:r>
      <w:r>
        <w:rPr>
          <w:rFonts w:ascii="仿宋" w:hAnsi="仿宋" w:cs="仿宋"/>
        </w:rPr>
        <w:t>该项指标得</w:t>
      </w:r>
      <w:r>
        <w:rPr>
          <w:rFonts w:hint="eastAsia" w:ascii="仿宋" w:hAnsi="仿宋" w:cs="仿宋"/>
        </w:rPr>
        <w:t>10</w:t>
      </w:r>
      <w:r>
        <w:rPr>
          <w:rFonts w:ascii="仿宋" w:hAnsi="仿宋" w:cs="仿宋"/>
        </w:rPr>
        <w:t>分。</w:t>
      </w:r>
    </w:p>
    <w:p>
      <w:pPr>
        <w:ind w:firstLine="0" w:firstLineChars="0"/>
        <w:rPr>
          <w:rFonts w:ascii="仿宋" w:hAnsi="仿宋" w:cs="仿宋"/>
          <w:b/>
          <w:bCs/>
        </w:rPr>
      </w:pPr>
      <w:r>
        <w:rPr>
          <w:rFonts w:ascii="仿宋" w:hAnsi="仿宋" w:cs="仿宋"/>
          <w:b/>
          <w:bCs/>
        </w:rPr>
        <w:t>(四)项目效果指标(</w:t>
      </w:r>
      <w:r>
        <w:rPr>
          <w:rFonts w:hint="eastAsia" w:ascii="仿宋" w:hAnsi="仿宋" w:cs="仿宋"/>
          <w:b/>
          <w:bCs/>
        </w:rPr>
        <w:t>30</w:t>
      </w:r>
      <w:r>
        <w:rPr>
          <w:rFonts w:ascii="仿宋" w:hAnsi="仿宋" w:cs="仿宋"/>
          <w:b/>
          <w:bCs/>
        </w:rPr>
        <w:t>分)，根据评价原则，效益评价得分为</w:t>
      </w:r>
      <w:r>
        <w:rPr>
          <w:rFonts w:hint="eastAsia" w:ascii="仿宋" w:hAnsi="仿宋" w:cs="仿宋"/>
          <w:b/>
          <w:bCs/>
        </w:rPr>
        <w:t>29</w:t>
      </w:r>
      <w:r>
        <w:rPr>
          <w:rFonts w:ascii="仿宋" w:hAnsi="仿宋" w:cs="仿宋"/>
          <w:b/>
          <w:bCs/>
        </w:rPr>
        <w:t>分。</w:t>
      </w:r>
    </w:p>
    <w:p>
      <w:pPr>
        <w:ind w:firstLine="562"/>
        <w:rPr>
          <w:rFonts w:ascii="仿宋" w:hAnsi="仿宋" w:cs="仿宋"/>
          <w:b/>
          <w:bCs/>
        </w:rPr>
      </w:pPr>
      <w:r>
        <w:rPr>
          <w:rFonts w:ascii="仿宋" w:hAnsi="仿宋" w:cs="仿宋"/>
          <w:b/>
          <w:bCs/>
        </w:rPr>
        <w:t>1、社会效益(</w:t>
      </w:r>
      <w:r>
        <w:rPr>
          <w:rFonts w:hint="eastAsia" w:ascii="仿宋" w:hAnsi="仿宋" w:cs="仿宋"/>
          <w:b/>
          <w:bCs/>
        </w:rPr>
        <w:t>20</w:t>
      </w:r>
      <w:r>
        <w:rPr>
          <w:rFonts w:ascii="仿宋" w:hAnsi="仿宋" w:cs="仿宋"/>
          <w:b/>
          <w:bCs/>
        </w:rPr>
        <w:t>分)</w:t>
      </w:r>
    </w:p>
    <w:p>
      <w:pPr>
        <w:rPr>
          <w:rFonts w:ascii="仿宋" w:hAnsi="仿宋" w:cs="仿宋"/>
        </w:rPr>
      </w:pPr>
      <w:r>
        <w:rPr>
          <w:rFonts w:hint="eastAsia" w:ascii="仿宋" w:hAnsi="仿宋" w:cs="仿宋"/>
        </w:rPr>
        <w:t>不动产大楼互联网专线网络覆盖率100%，保障了局办公网络正常运行，日常工作不受影响，</w:t>
      </w:r>
      <w:r>
        <w:rPr>
          <w:rFonts w:ascii="仿宋" w:hAnsi="仿宋" w:cs="仿宋"/>
        </w:rPr>
        <w:t>该项指标得</w:t>
      </w:r>
      <w:r>
        <w:rPr>
          <w:rFonts w:hint="eastAsia" w:ascii="仿宋" w:hAnsi="仿宋" w:cs="仿宋"/>
        </w:rPr>
        <w:t>20</w:t>
      </w:r>
      <w:r>
        <w:rPr>
          <w:rFonts w:ascii="仿宋" w:hAnsi="仿宋" w:cs="仿宋"/>
        </w:rPr>
        <w:t>分;</w:t>
      </w:r>
    </w:p>
    <w:p>
      <w:pPr>
        <w:ind w:firstLine="562"/>
        <w:rPr>
          <w:rFonts w:ascii="仿宋" w:hAnsi="仿宋" w:cs="仿宋"/>
          <w:b/>
          <w:bCs/>
        </w:rPr>
      </w:pPr>
      <w:r>
        <w:rPr>
          <w:rFonts w:ascii="仿宋" w:hAnsi="仿宋" w:cs="仿宋"/>
          <w:b/>
          <w:bCs/>
        </w:rPr>
        <w:t>2、可持续影响(</w:t>
      </w:r>
      <w:r>
        <w:rPr>
          <w:rFonts w:hint="eastAsia" w:ascii="仿宋" w:hAnsi="仿宋" w:cs="仿宋"/>
          <w:b/>
          <w:bCs/>
        </w:rPr>
        <w:t>10</w:t>
      </w:r>
      <w:r>
        <w:rPr>
          <w:rFonts w:ascii="仿宋" w:hAnsi="仿宋" w:cs="仿宋"/>
          <w:b/>
          <w:bCs/>
        </w:rPr>
        <w:t>分)</w:t>
      </w:r>
    </w:p>
    <w:p>
      <w:pPr>
        <w:rPr>
          <w:rFonts w:ascii="仿宋" w:hAnsi="仿宋" w:cs="仿宋"/>
        </w:rPr>
      </w:pPr>
      <w:r>
        <w:rPr>
          <w:rFonts w:hint="eastAsia" w:ascii="仿宋" w:hAnsi="仿宋" w:cs="仿宋"/>
        </w:rPr>
        <w:t>网络专线</w:t>
      </w:r>
      <w:r>
        <w:rPr>
          <w:rFonts w:ascii="仿宋" w:hAnsi="仿宋" w:cs="仿宋"/>
        </w:rPr>
        <w:t>运行状况(</w:t>
      </w:r>
      <w:r>
        <w:rPr>
          <w:rFonts w:hint="eastAsia" w:ascii="仿宋" w:hAnsi="仿宋" w:cs="仿宋"/>
        </w:rPr>
        <w:t>10</w:t>
      </w:r>
      <w:r>
        <w:rPr>
          <w:rFonts w:ascii="仿宋" w:hAnsi="仿宋" w:cs="仿宋"/>
        </w:rPr>
        <w:t>分)</w:t>
      </w:r>
    </w:p>
    <w:p>
      <w:pPr>
        <w:rPr>
          <w:rFonts w:ascii="仿宋" w:hAnsi="仿宋" w:cs="仿宋"/>
        </w:rPr>
      </w:pPr>
      <w:r>
        <w:rPr>
          <w:rFonts w:ascii="仿宋" w:hAnsi="仿宋" w:cs="仿宋"/>
        </w:rPr>
        <w:t>采购的</w:t>
      </w:r>
      <w:r>
        <w:rPr>
          <w:rFonts w:hint="eastAsia" w:ascii="仿宋" w:hAnsi="仿宋" w:cs="仿宋"/>
        </w:rPr>
        <w:t>移动OA办公系统网络专线、不动产登记大楼互联网专线全年</w:t>
      </w:r>
      <w:r>
        <w:rPr>
          <w:rFonts w:ascii="仿宋" w:hAnsi="仿宋" w:cs="仿宋"/>
        </w:rPr>
        <w:t>运行状况良好，</w:t>
      </w:r>
      <w:r>
        <w:rPr>
          <w:rFonts w:hint="eastAsia" w:ascii="仿宋" w:hAnsi="仿宋" w:cs="仿宋"/>
        </w:rPr>
        <w:t>未出现故障，</w:t>
      </w:r>
      <w:r>
        <w:rPr>
          <w:rFonts w:ascii="仿宋" w:hAnsi="仿宋" w:cs="仿宋"/>
        </w:rPr>
        <w:t>无过度损耗情况，该项指标得</w:t>
      </w:r>
      <w:r>
        <w:rPr>
          <w:rFonts w:hint="eastAsia" w:ascii="仿宋" w:hAnsi="仿宋" w:cs="仿宋"/>
        </w:rPr>
        <w:t>9</w:t>
      </w:r>
      <w:r>
        <w:rPr>
          <w:rFonts w:ascii="仿宋" w:hAnsi="仿宋" w:cs="仿宋"/>
        </w:rPr>
        <w:t>分</w:t>
      </w:r>
      <w:r>
        <w:rPr>
          <w:rFonts w:hint="eastAsia" w:ascii="仿宋" w:hAnsi="仿宋" w:cs="仿宋"/>
        </w:rPr>
        <w:t>，复评分得分8分</w:t>
      </w:r>
      <w:r>
        <w:rPr>
          <w:rFonts w:ascii="仿宋" w:hAnsi="仿宋" w:cs="仿宋"/>
        </w:rPr>
        <w:t>。</w:t>
      </w:r>
    </w:p>
    <w:p>
      <w:pPr>
        <w:ind w:firstLine="0" w:firstLineChars="0"/>
        <w:rPr>
          <w:rFonts w:ascii="仿宋" w:hAnsi="仿宋" w:cs="仿宋"/>
          <w:b/>
          <w:bCs/>
        </w:rPr>
      </w:pPr>
      <w:r>
        <w:rPr>
          <w:rFonts w:ascii="仿宋" w:hAnsi="仿宋" w:cs="仿宋"/>
          <w:b/>
          <w:bCs/>
        </w:rPr>
        <w:t>(五)项目满意度(</w:t>
      </w:r>
      <w:r>
        <w:rPr>
          <w:rFonts w:hint="eastAsia" w:ascii="仿宋" w:hAnsi="仿宋" w:cs="仿宋"/>
          <w:b/>
          <w:bCs/>
        </w:rPr>
        <w:t>10</w:t>
      </w:r>
      <w:r>
        <w:rPr>
          <w:rFonts w:ascii="仿宋" w:hAnsi="仿宋" w:cs="仿宋"/>
          <w:b/>
          <w:bCs/>
        </w:rPr>
        <w:t>分)，根据评价原则，满意度评价得分为</w:t>
      </w:r>
      <w:r>
        <w:rPr>
          <w:rFonts w:hint="eastAsia" w:ascii="仿宋" w:hAnsi="仿宋" w:cs="仿宋"/>
          <w:b/>
          <w:bCs/>
        </w:rPr>
        <w:t>9</w:t>
      </w:r>
      <w:r>
        <w:rPr>
          <w:rFonts w:ascii="仿宋" w:hAnsi="仿宋" w:cs="仿宋"/>
          <w:b/>
          <w:bCs/>
        </w:rPr>
        <w:t>分。</w:t>
      </w:r>
    </w:p>
    <w:p>
      <w:pPr>
        <w:rPr>
          <w:rFonts w:ascii="仿宋" w:hAnsi="仿宋" w:cs="仿宋"/>
        </w:rPr>
      </w:pPr>
      <w:r>
        <w:rPr>
          <w:rFonts w:ascii="仿宋" w:hAnsi="仿宋" w:cs="仿宋"/>
        </w:rPr>
        <w:t>通过本单位发放的调查问卷结果显示，社会公众或服务对象满意度90%，该项指标得</w:t>
      </w:r>
      <w:r>
        <w:rPr>
          <w:rFonts w:hint="eastAsia" w:ascii="仿宋" w:hAnsi="仿宋" w:cs="仿宋"/>
        </w:rPr>
        <w:t>9</w:t>
      </w:r>
      <w:r>
        <w:rPr>
          <w:rFonts w:ascii="仿宋" w:hAnsi="仿宋" w:cs="仿宋"/>
        </w:rPr>
        <w:t>分。</w:t>
      </w:r>
    </w:p>
    <w:p>
      <w:pPr>
        <w:ind w:firstLine="0" w:firstLineChars="0"/>
        <w:rPr>
          <w:rFonts w:ascii="仿宋" w:hAnsi="仿宋" w:cs="仿宋"/>
          <w:b/>
          <w:bCs/>
          <w:sz w:val="32"/>
          <w:szCs w:val="32"/>
        </w:rPr>
      </w:pPr>
      <w:r>
        <w:rPr>
          <w:rFonts w:hint="eastAsia" w:ascii="仿宋" w:hAnsi="仿宋" w:cs="仿宋"/>
          <w:b/>
          <w:bCs/>
          <w:sz w:val="32"/>
          <w:szCs w:val="32"/>
        </w:rPr>
        <w:t>五</w:t>
      </w:r>
      <w:r>
        <w:rPr>
          <w:rFonts w:ascii="仿宋" w:hAnsi="仿宋" w:cs="仿宋"/>
          <w:b/>
          <w:bCs/>
          <w:sz w:val="32"/>
          <w:szCs w:val="32"/>
        </w:rPr>
        <w:t>、项目实施经验、做法、存在的问题和改进措施</w:t>
      </w:r>
    </w:p>
    <w:p>
      <w:pPr>
        <w:ind w:firstLine="0" w:firstLineChars="0"/>
        <w:rPr>
          <w:rFonts w:ascii="仿宋" w:hAnsi="仿宋" w:cs="仿宋"/>
          <w:b/>
          <w:bCs/>
        </w:rPr>
      </w:pPr>
      <w:r>
        <w:rPr>
          <w:rFonts w:hint="eastAsia" w:ascii="仿宋" w:hAnsi="仿宋" w:cs="仿宋"/>
          <w:b/>
          <w:bCs/>
        </w:rPr>
        <w:t>（一）</w:t>
      </w:r>
      <w:r>
        <w:rPr>
          <w:rFonts w:ascii="仿宋" w:hAnsi="仿宋" w:cs="仿宋"/>
          <w:b/>
          <w:bCs/>
        </w:rPr>
        <w:t>主要经验及做法:</w:t>
      </w:r>
    </w:p>
    <w:p>
      <w:pPr>
        <w:widowControl/>
        <w:spacing w:before="156" w:after="156"/>
        <w:ind w:firstLine="562"/>
        <w:jc w:val="left"/>
        <w:rPr>
          <w:b/>
        </w:rPr>
      </w:pPr>
      <w:bookmarkStart w:id="9" w:name="_Toc480533267"/>
      <w:bookmarkStart w:id="10" w:name="_Toc480537004"/>
      <w:bookmarkStart w:id="11" w:name="_Toc480537554"/>
      <w:bookmarkStart w:id="12" w:name="_Toc480534763"/>
      <w:bookmarkStart w:id="13" w:name="_Toc480533804"/>
      <w:bookmarkStart w:id="14" w:name="_Toc480537488"/>
      <w:r>
        <w:rPr>
          <w:rFonts w:hint="eastAsia"/>
          <w:b/>
        </w:rPr>
        <w:t>（一）项目主要经验及做法</w:t>
      </w:r>
      <w:bookmarkEnd w:id="9"/>
      <w:bookmarkEnd w:id="10"/>
      <w:bookmarkEnd w:id="11"/>
      <w:bookmarkEnd w:id="12"/>
      <w:bookmarkEnd w:id="13"/>
      <w:bookmarkEnd w:id="14"/>
    </w:p>
    <w:p>
      <w:pPr>
        <w:widowControl/>
        <w:spacing w:before="156" w:after="156"/>
        <w:jc w:val="left"/>
        <w:rPr>
          <w:rFonts w:ascii="仿宋" w:hAnsi="仿宋"/>
          <w:szCs w:val="28"/>
        </w:rPr>
      </w:pPr>
      <w:r>
        <w:rPr>
          <w:rFonts w:hint="eastAsia" w:ascii="仿宋" w:hAnsi="仿宋"/>
          <w:szCs w:val="28"/>
        </w:rPr>
        <w:t>1、切实加强领导，安排信息技术科专业人员负责本项目管理监督工作。</w:t>
      </w:r>
    </w:p>
    <w:p>
      <w:pPr>
        <w:widowControl/>
        <w:spacing w:before="156" w:after="156"/>
        <w:jc w:val="left"/>
        <w:rPr>
          <w:rFonts w:ascii="仿宋" w:hAnsi="仿宋"/>
          <w:szCs w:val="28"/>
        </w:rPr>
      </w:pPr>
      <w:r>
        <w:rPr>
          <w:rFonts w:hint="eastAsia" w:ascii="仿宋" w:hAnsi="仿宋"/>
          <w:szCs w:val="28"/>
        </w:rPr>
        <w:t>2、依据技术标准规范，明确工作任务对象、条件、要求，扎扎实实开展工作。</w:t>
      </w:r>
    </w:p>
    <w:p>
      <w:pPr>
        <w:widowControl/>
        <w:spacing w:before="156" w:after="156"/>
        <w:jc w:val="left"/>
        <w:rPr>
          <w:rFonts w:hint="eastAsia" w:ascii="仿宋" w:hAnsi="仿宋"/>
          <w:szCs w:val="28"/>
        </w:rPr>
      </w:pPr>
      <w:r>
        <w:rPr>
          <w:rFonts w:hint="eastAsia" w:ascii="仿宋" w:hAnsi="仿宋"/>
          <w:szCs w:val="28"/>
        </w:rPr>
        <w:t>3、按规定进行招投标，与财政部门协调，按照项目完成进度拨付资金，保证项目资金落到实处。</w:t>
      </w:r>
    </w:p>
    <w:p>
      <w:pPr>
        <w:widowControl/>
        <w:spacing w:before="156" w:after="156"/>
        <w:jc w:val="left"/>
        <w:rPr>
          <w:rFonts w:hint="eastAsia" w:ascii="仿宋" w:hAnsi="仿宋"/>
          <w:b/>
          <w:bCs/>
          <w:szCs w:val="28"/>
          <w:lang w:val="en-US" w:eastAsia="zh-CN"/>
        </w:rPr>
      </w:pPr>
      <w:r>
        <w:rPr>
          <w:rFonts w:hint="eastAsia" w:ascii="仿宋" w:hAnsi="仿宋"/>
          <w:b/>
          <w:bCs/>
          <w:szCs w:val="28"/>
          <w:lang w:eastAsia="zh-CN"/>
        </w:rPr>
        <w:t>（</w:t>
      </w:r>
      <w:r>
        <w:rPr>
          <w:rFonts w:hint="eastAsia" w:ascii="仿宋" w:hAnsi="仿宋"/>
          <w:b/>
          <w:bCs/>
          <w:szCs w:val="28"/>
          <w:lang w:val="en-US" w:eastAsia="zh-CN"/>
        </w:rPr>
        <w:t>二</w:t>
      </w:r>
      <w:r>
        <w:rPr>
          <w:rFonts w:hint="eastAsia" w:ascii="仿宋" w:hAnsi="仿宋"/>
          <w:b/>
          <w:bCs/>
          <w:szCs w:val="28"/>
          <w:lang w:eastAsia="zh-CN"/>
        </w:rPr>
        <w:t>）</w:t>
      </w:r>
      <w:r>
        <w:rPr>
          <w:rFonts w:hint="eastAsia" w:ascii="仿宋" w:hAnsi="仿宋"/>
          <w:b/>
          <w:bCs/>
          <w:szCs w:val="28"/>
          <w:lang w:val="en-US" w:eastAsia="zh-CN"/>
        </w:rPr>
        <w:t>存在问题</w:t>
      </w:r>
    </w:p>
    <w:p>
      <w:pPr>
        <w:spacing w:line="240" w:lineRule="auto"/>
        <w:ind w:firstLine="0" w:firstLineChars="0"/>
        <w:jc w:val="left"/>
        <w:rPr>
          <w:rFonts w:hint="default" w:ascii="仿宋" w:hAnsi="仿宋"/>
          <w:b/>
          <w:bCs/>
          <w:szCs w:val="28"/>
          <w:lang w:val="en-US" w:eastAsia="zh-CN"/>
        </w:rPr>
      </w:pPr>
      <w:r>
        <w:rPr>
          <w:rFonts w:hint="eastAsia" w:ascii="仿宋" w:hAnsi="仿宋"/>
          <w:b w:val="0"/>
          <w:bCs/>
          <w:szCs w:val="28"/>
          <w:lang w:val="en-US" w:eastAsia="zh-CN"/>
        </w:rPr>
        <w:t xml:space="preserve">    随着不动产登记业务办理量的日渐增多，现有100M网络宽带将难以满足用网需求。</w:t>
      </w:r>
    </w:p>
    <w:p>
      <w:pPr>
        <w:ind w:firstLine="643"/>
        <w:rPr>
          <w:rFonts w:ascii="仿宋" w:hAnsi="仿宋" w:cs="仿宋"/>
          <w:b/>
          <w:bCs/>
          <w:sz w:val="32"/>
          <w:szCs w:val="32"/>
        </w:rPr>
      </w:pPr>
      <w:r>
        <w:rPr>
          <w:rFonts w:hint="eastAsia" w:ascii="仿宋" w:hAnsi="仿宋" w:cs="仿宋"/>
          <w:b/>
          <w:bCs/>
          <w:sz w:val="32"/>
          <w:szCs w:val="32"/>
        </w:rPr>
        <w:t>六、有关建议</w:t>
      </w:r>
    </w:p>
    <w:p>
      <w:pPr>
        <w:spacing w:line="240" w:lineRule="auto"/>
        <w:ind w:firstLine="0" w:firstLineChars="0"/>
        <w:jc w:val="left"/>
        <w:rPr>
          <w:rFonts w:hint="default" w:ascii="仿宋" w:hAnsi="仿宋" w:eastAsia="仿宋"/>
          <w:b w:val="0"/>
          <w:bCs/>
          <w:szCs w:val="28"/>
          <w:lang w:val="en-US" w:eastAsia="zh-CN"/>
        </w:rPr>
      </w:pPr>
      <w:r>
        <w:rPr>
          <w:rFonts w:hint="eastAsia" w:ascii="仿宋" w:hAnsi="仿宋"/>
          <w:b/>
          <w:szCs w:val="28"/>
          <w:lang w:val="en-US" w:eastAsia="zh-CN"/>
        </w:rPr>
        <w:t xml:space="preserve"> </w:t>
      </w:r>
      <w:r>
        <w:rPr>
          <w:rFonts w:hint="eastAsia" w:ascii="仿宋" w:hAnsi="仿宋"/>
          <w:b w:val="0"/>
          <w:bCs/>
          <w:szCs w:val="28"/>
          <w:lang w:val="en-US" w:eastAsia="zh-CN"/>
        </w:rPr>
        <w:t xml:space="preserve">   未来须请求增加财政经费支持力</w:t>
      </w:r>
      <w:bookmarkStart w:id="15" w:name="_GoBack"/>
      <w:bookmarkEnd w:id="15"/>
      <w:r>
        <w:rPr>
          <w:rFonts w:hint="eastAsia" w:ascii="仿宋" w:hAnsi="仿宋"/>
          <w:b w:val="0"/>
          <w:bCs/>
          <w:szCs w:val="28"/>
          <w:lang w:val="en-US" w:eastAsia="zh-CN"/>
        </w:rPr>
        <w:t>度，提升网络宽带网速，以保障局办公系统和不动产登记业务办理正常运行。</w:t>
      </w:r>
    </w:p>
    <w:sectPr>
      <w:headerReference r:id="rId3" w:type="default"/>
      <w:footerReference r:id="rId4" w:type="default"/>
      <w:pgSz w:w="12240" w:h="15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sdtPr>
    <w:sdtContent>
      <w:p>
        <w:pPr>
          <w:pStyle w:val="7"/>
          <w:ind w:firstLine="360"/>
          <w:jc w:val="center"/>
        </w:pPr>
        <w:r>
          <w:fldChar w:fldCharType="begin"/>
        </w:r>
        <w:r>
          <w:instrText xml:space="preserve">PAGE   \* MERGEFORMAT</w:instrText>
        </w:r>
        <w:r>
          <w:fldChar w:fldCharType="separate"/>
        </w:r>
        <w:r>
          <w:rPr>
            <w:lang w:val="zh-CN"/>
          </w:rPr>
          <w:t>4</w:t>
        </w:r>
        <w:r>
          <w:fldChar w:fldCharType="end"/>
        </w:r>
      </w:p>
    </w:sdtContent>
  </w:sdt>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rFonts w:hint="eastAsia"/>
      </w:rPr>
      <w:t>不动产登记大楼网络专线</w:t>
    </w:r>
    <w:r>
      <w:t>经费</w:t>
    </w:r>
    <w:r>
      <w:rPr>
        <w:rFonts w:hint="eastAsia"/>
      </w:rPr>
      <w:t>绩效</w:t>
    </w:r>
    <w:r>
      <w:t>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EF5FEE"/>
    <w:multiLevelType w:val="singleLevel"/>
    <w:tmpl w:val="F7EF5FEE"/>
    <w:lvl w:ilvl="0" w:tentative="0">
      <w:start w:val="2"/>
      <w:numFmt w:val="decimal"/>
      <w:suff w:val="nothing"/>
      <w:lvlText w:val="%1、"/>
      <w:lvlJc w:val="left"/>
    </w:lvl>
  </w:abstractNum>
  <w:abstractNum w:abstractNumId="1">
    <w:nsid w:val="F80FBDE2"/>
    <w:multiLevelType w:val="singleLevel"/>
    <w:tmpl w:val="F80FBDE2"/>
    <w:lvl w:ilvl="0" w:tentative="0">
      <w:start w:val="1"/>
      <w:numFmt w:val="decimal"/>
      <w:suff w:val="nothing"/>
      <w:lvlText w:val="（%1）"/>
      <w:lvlJc w:val="left"/>
    </w:lvl>
  </w:abstractNum>
  <w:abstractNum w:abstractNumId="2">
    <w:nsid w:val="FDD500BD"/>
    <w:multiLevelType w:val="singleLevel"/>
    <w:tmpl w:val="FDD500BD"/>
    <w:lvl w:ilvl="0" w:tentative="0">
      <w:start w:val="1"/>
      <w:numFmt w:val="decimal"/>
      <w:suff w:val="nothing"/>
      <w:lvlText w:val="%1、"/>
      <w:lvlJc w:val="left"/>
    </w:lvl>
  </w:abstractNum>
  <w:abstractNum w:abstractNumId="3">
    <w:nsid w:val="4162F27F"/>
    <w:multiLevelType w:val="singleLevel"/>
    <w:tmpl w:val="4162F27F"/>
    <w:lvl w:ilvl="0" w:tentative="0">
      <w:start w:val="1"/>
      <w:numFmt w:val="decimal"/>
      <w:suff w:val="nothing"/>
      <w:lvlText w:val="（%1）"/>
      <w:lvlJc w:val="left"/>
    </w:lvl>
  </w:abstractNum>
  <w:abstractNum w:abstractNumId="4">
    <w:nsid w:val="5E63B6E0"/>
    <w:multiLevelType w:val="singleLevel"/>
    <w:tmpl w:val="5E63B6E0"/>
    <w:lvl w:ilvl="0" w:tentative="0">
      <w:start w:val="3"/>
      <w:numFmt w:val="chineseCounting"/>
      <w:suff w:val="nothing"/>
      <w:lvlText w:val="%1、"/>
      <w:lvlJc w:val="left"/>
      <w:rPr>
        <w:rFonts w:hint="eastAsia"/>
      </w:rPr>
    </w:lvl>
  </w:abstractNum>
  <w:abstractNum w:abstractNumId="5">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A5A2E"/>
    <w:rsid w:val="001D661F"/>
    <w:rsid w:val="001E1D32"/>
    <w:rsid w:val="001E2811"/>
    <w:rsid w:val="00263998"/>
    <w:rsid w:val="00277AE5"/>
    <w:rsid w:val="0028547D"/>
    <w:rsid w:val="002B61D7"/>
    <w:rsid w:val="00330AE8"/>
    <w:rsid w:val="0033519E"/>
    <w:rsid w:val="00351516"/>
    <w:rsid w:val="003B656B"/>
    <w:rsid w:val="003C4723"/>
    <w:rsid w:val="003C6E7C"/>
    <w:rsid w:val="003D0C6F"/>
    <w:rsid w:val="003D16DA"/>
    <w:rsid w:val="003D38D7"/>
    <w:rsid w:val="0041433C"/>
    <w:rsid w:val="00447B29"/>
    <w:rsid w:val="0046329A"/>
    <w:rsid w:val="004E644E"/>
    <w:rsid w:val="004F4DEE"/>
    <w:rsid w:val="0054519E"/>
    <w:rsid w:val="00564C31"/>
    <w:rsid w:val="005D17BE"/>
    <w:rsid w:val="005E1424"/>
    <w:rsid w:val="00621691"/>
    <w:rsid w:val="006310AF"/>
    <w:rsid w:val="00662689"/>
    <w:rsid w:val="006917A9"/>
    <w:rsid w:val="006F4C66"/>
    <w:rsid w:val="00701B5E"/>
    <w:rsid w:val="007429D3"/>
    <w:rsid w:val="0078069E"/>
    <w:rsid w:val="007B6D47"/>
    <w:rsid w:val="007D3DF4"/>
    <w:rsid w:val="007D3E52"/>
    <w:rsid w:val="007E6A6B"/>
    <w:rsid w:val="007F130C"/>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204F2"/>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54CD8"/>
    <w:rsid w:val="00F61610"/>
    <w:rsid w:val="00F7379B"/>
    <w:rsid w:val="00F8650E"/>
    <w:rsid w:val="00FC7E97"/>
    <w:rsid w:val="00FD1D35"/>
    <w:rsid w:val="00FE2648"/>
    <w:rsid w:val="07172A35"/>
    <w:rsid w:val="09CE6023"/>
    <w:rsid w:val="0A6B7438"/>
    <w:rsid w:val="0B682FFA"/>
    <w:rsid w:val="11A920B8"/>
    <w:rsid w:val="152C3CA3"/>
    <w:rsid w:val="15443624"/>
    <w:rsid w:val="18AA3794"/>
    <w:rsid w:val="1DD9160F"/>
    <w:rsid w:val="1FD310E2"/>
    <w:rsid w:val="24262E5F"/>
    <w:rsid w:val="28BA51E4"/>
    <w:rsid w:val="2D3107AD"/>
    <w:rsid w:val="349404DE"/>
    <w:rsid w:val="36B22B89"/>
    <w:rsid w:val="36ED571B"/>
    <w:rsid w:val="3D7954BD"/>
    <w:rsid w:val="48954A50"/>
    <w:rsid w:val="50193F22"/>
    <w:rsid w:val="519F095F"/>
    <w:rsid w:val="52B42AE0"/>
    <w:rsid w:val="54F713A8"/>
    <w:rsid w:val="5B0B37F5"/>
    <w:rsid w:val="5EB05EA3"/>
    <w:rsid w:val="61BC7BC5"/>
    <w:rsid w:val="62820AFF"/>
    <w:rsid w:val="62FC6C69"/>
    <w:rsid w:val="65D05266"/>
    <w:rsid w:val="69FE63D9"/>
    <w:rsid w:val="6A456B0F"/>
    <w:rsid w:val="7369434C"/>
    <w:rsid w:val="73CB7A47"/>
    <w:rsid w:val="79FF3ABA"/>
    <w:rsid w:val="7D2B04CE"/>
    <w:rsid w:val="7EBA50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Lines="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8F5BE-66C6-475A-93F9-A5BA6D22122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1010</Words>
  <Characters>5762</Characters>
  <Lines>48</Lines>
  <Paragraphs>13</Paragraphs>
  <TotalTime>1</TotalTime>
  <ScaleCrop>false</ScaleCrop>
  <LinksUpToDate>false</LinksUpToDate>
  <CharactersWithSpaces>6759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璐</cp:lastModifiedBy>
  <cp:lastPrinted>2020-04-29T03:11:00Z</cp:lastPrinted>
  <dcterms:modified xsi:type="dcterms:W3CDTF">2020-06-18T02:42:54Z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