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Arial"/>
          <w:bCs/>
          <w:sz w:val="32"/>
          <w:szCs w:val="32"/>
        </w:rPr>
      </w:pPr>
      <w:bookmarkStart w:id="0" w:name="_Toc29487"/>
      <w:bookmarkStart w:id="1" w:name="_Toc257"/>
      <w:bookmarkStart w:id="2" w:name="_Toc23342"/>
      <w:r>
        <w:rPr>
          <w:rFonts w:hint="eastAsia" w:ascii="黑体" w:hAnsi="宋体" w:eastAsia="黑体" w:cs="Arial"/>
          <w:bCs/>
          <w:sz w:val="32"/>
          <w:szCs w:val="32"/>
        </w:rPr>
        <w:t>附件4：</w:t>
      </w:r>
    </w:p>
    <w:p>
      <w:pPr>
        <w:rPr>
          <w:rFonts w:ascii="黑体" w:hAnsi="宋体" w:eastAsia="黑体" w:cs="Arial"/>
          <w:bCs/>
          <w:sz w:val="32"/>
          <w:szCs w:val="32"/>
        </w:rPr>
      </w:pPr>
    </w:p>
    <w:p>
      <w:pPr>
        <w:jc w:val="center"/>
        <w:rPr>
          <w:rFonts w:ascii="方正小标宋简体" w:hAnsi="宋体" w:eastAsia="方正小标宋简体" w:cs="Arial"/>
          <w:bCs/>
          <w:sz w:val="44"/>
          <w:szCs w:val="44"/>
        </w:rPr>
      </w:pPr>
      <w:r>
        <w:rPr>
          <w:rFonts w:hint="eastAsia" w:ascii="方正小标宋简体" w:hAnsi="宋体" w:eastAsia="方正小标宋简体" w:cs="Arial"/>
          <w:bCs/>
          <w:sz w:val="44"/>
          <w:szCs w:val="44"/>
        </w:rPr>
        <w:t>南昌市城市地价动态监测数据采集与维护项目支出绩效自评报告</w:t>
      </w:r>
    </w:p>
    <w:p>
      <w:pPr>
        <w:rPr>
          <w:rFonts w:ascii="黑体" w:hAnsi="宋体" w:eastAsia="黑体" w:cs="Arial"/>
          <w:bCs/>
          <w:sz w:val="32"/>
          <w:szCs w:val="32"/>
        </w:rPr>
      </w:pPr>
    </w:p>
    <w:p>
      <w:pPr>
        <w:rPr>
          <w:rFonts w:ascii="黑体" w:hAnsi="宋体" w:eastAsia="黑体" w:cs="Arial"/>
          <w:bCs/>
          <w:sz w:val="32"/>
          <w:szCs w:val="32"/>
        </w:rPr>
      </w:pPr>
    </w:p>
    <w:p>
      <w:pPr>
        <w:spacing w:line="600" w:lineRule="exact"/>
        <w:rPr>
          <w:rFonts w:ascii="黑体" w:hAnsi="黑体" w:eastAsia="黑体" w:cs="黑体"/>
          <w:bCs/>
          <w:sz w:val="32"/>
          <w:szCs w:val="32"/>
          <w:u w:val="single"/>
        </w:rPr>
      </w:pPr>
      <w:r>
        <w:rPr>
          <w:rFonts w:hint="eastAsia" w:ascii="黑体" w:hAnsi="宋体" w:eastAsia="黑体" w:cs="Arial"/>
          <w:bCs/>
          <w:sz w:val="32"/>
          <w:szCs w:val="32"/>
        </w:rPr>
        <w:t>项目名称：</w:t>
      </w:r>
      <w:r>
        <w:rPr>
          <w:rFonts w:hint="eastAsia" w:ascii="黑体" w:hAnsi="宋体" w:eastAsia="黑体" w:cs="Arial"/>
          <w:bCs/>
          <w:sz w:val="32"/>
          <w:szCs w:val="32"/>
          <w:u w:val="single"/>
        </w:rPr>
        <w:t xml:space="preserve">    </w:t>
      </w:r>
      <w:r>
        <w:rPr>
          <w:rFonts w:hint="eastAsia" w:ascii="黑体" w:hAnsi="黑体" w:eastAsia="黑体" w:cs="黑体"/>
          <w:bCs/>
          <w:sz w:val="32"/>
          <w:szCs w:val="32"/>
          <w:u w:val="single"/>
        </w:rPr>
        <w:t xml:space="preserve">南昌市城市地价动态监测数据采集与维护   </w:t>
      </w:r>
    </w:p>
    <w:p>
      <w:pPr>
        <w:spacing w:line="600" w:lineRule="exact"/>
        <w:rPr>
          <w:rFonts w:ascii="黑体" w:hAnsi="黑体" w:eastAsia="黑体" w:cs="黑体"/>
          <w:bCs/>
          <w:sz w:val="32"/>
          <w:szCs w:val="32"/>
          <w:u w:val="single"/>
        </w:rPr>
      </w:pPr>
    </w:p>
    <w:p>
      <w:pPr>
        <w:spacing w:line="600" w:lineRule="exact"/>
        <w:rPr>
          <w:rFonts w:ascii="黑体" w:hAnsi="宋体" w:eastAsia="黑体" w:cs="Arial"/>
          <w:bCs/>
          <w:sz w:val="32"/>
          <w:szCs w:val="32"/>
          <w:u w:val="single"/>
        </w:rPr>
      </w:pPr>
      <w:r>
        <w:rPr>
          <w:rFonts w:hint="eastAsia" w:ascii="黑体" w:hAnsi="宋体" w:eastAsia="黑体" w:cs="Arial"/>
          <w:bCs/>
          <w:sz w:val="32"/>
          <w:szCs w:val="32"/>
        </w:rPr>
        <w:t>项目类别：</w:t>
      </w:r>
      <w:r>
        <w:rPr>
          <w:rFonts w:hint="eastAsia" w:ascii="黑体" w:hAnsi="宋体" w:eastAsia="黑体" w:cs="Arial"/>
          <w:bCs/>
          <w:sz w:val="32"/>
          <w:szCs w:val="32"/>
          <w:u w:val="single"/>
        </w:rPr>
        <w:t xml:space="preserve">         </w:t>
      </w:r>
      <w:r>
        <w:rPr>
          <w:rFonts w:hint="eastAsia" w:ascii="黑体" w:hAnsi="黑体" w:eastAsia="黑体" w:cs="黑体"/>
          <w:bCs/>
          <w:sz w:val="32"/>
          <w:szCs w:val="32"/>
          <w:u w:val="single"/>
        </w:rPr>
        <w:t xml:space="preserve">其他类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u w:val="single"/>
        </w:rPr>
      </w:pPr>
      <w:r>
        <w:rPr>
          <w:rFonts w:hint="eastAsia" w:ascii="黑体" w:hAnsi="宋体" w:eastAsia="黑体" w:cs="Arial"/>
          <w:bCs/>
          <w:sz w:val="32"/>
          <w:szCs w:val="32"/>
        </w:rPr>
        <w:t>实施单位：</w:t>
      </w:r>
      <w:r>
        <w:rPr>
          <w:rFonts w:hint="eastAsia" w:ascii="黑体" w:hAnsi="宋体" w:eastAsia="黑体" w:cs="Arial"/>
          <w:bCs/>
          <w:sz w:val="32"/>
          <w:szCs w:val="32"/>
          <w:u w:val="single"/>
        </w:rPr>
        <w:t xml:space="preserve">    南昌市自然资源局权益处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南昌市自然资源局        （盖章）</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南昌市自然资源局        （盖章）</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2019年                         </w:t>
      </w:r>
    </w:p>
    <w:p>
      <w:pPr>
        <w:rPr>
          <w:rFonts w:ascii="黑体" w:hAnsi="宋体" w:eastAsia="黑体" w:cs="Arial"/>
          <w:bCs/>
          <w:sz w:val="32"/>
          <w:szCs w:val="32"/>
        </w:rPr>
      </w:pPr>
    </w:p>
    <w:p>
      <w:pPr>
        <w:jc w:val="center"/>
        <w:rPr>
          <w:rFonts w:ascii="黑体" w:hAnsi="宋体" w:eastAsia="黑体" w:cs="Arial"/>
          <w:bCs/>
          <w:sz w:val="32"/>
          <w:szCs w:val="32"/>
        </w:rPr>
      </w:pPr>
    </w:p>
    <w:p>
      <w:pPr>
        <w:jc w:val="center"/>
        <w:rPr>
          <w:rFonts w:ascii="黑体" w:hAnsi="宋体" w:eastAsia="黑体" w:cs="Arial"/>
          <w:bCs/>
          <w:sz w:val="32"/>
          <w:szCs w:val="32"/>
        </w:rPr>
      </w:pPr>
    </w:p>
    <w:p>
      <w:pPr>
        <w:jc w:val="center"/>
        <w:rPr>
          <w:rFonts w:ascii="黑体" w:hAnsi="宋体" w:eastAsia="黑体" w:cs="Arial"/>
          <w:bCs/>
          <w:sz w:val="32"/>
          <w:szCs w:val="32"/>
        </w:rPr>
      </w:pPr>
      <w:r>
        <w:rPr>
          <w:rFonts w:hint="eastAsia" w:ascii="黑体" w:hAnsi="宋体" w:eastAsia="黑体" w:cs="Arial"/>
          <w:bCs/>
          <w:sz w:val="32"/>
          <w:szCs w:val="32"/>
        </w:rPr>
        <w:t>2020年 4  月 13日</w:t>
      </w:r>
    </w:p>
    <w:p>
      <w:pPr>
        <w:pStyle w:val="10"/>
        <w:spacing w:before="156" w:after="156"/>
        <w:jc w:val="both"/>
        <w:rPr>
          <w:rFonts w:ascii="黑体" w:hAnsi="黑体" w:eastAsia="黑体"/>
          <w:sz w:val="48"/>
          <w:szCs w:val="48"/>
        </w:rPr>
      </w:pPr>
    </w:p>
    <w:p>
      <w:pPr>
        <w:pStyle w:val="10"/>
        <w:spacing w:before="156" w:after="156"/>
        <w:rPr>
          <w:rFonts w:ascii="黑体" w:hAnsi="黑体" w:eastAsia="黑体"/>
          <w:sz w:val="48"/>
          <w:szCs w:val="48"/>
        </w:rPr>
      </w:pPr>
      <w:r>
        <w:rPr>
          <w:rFonts w:hint="eastAsia" w:ascii="黑体" w:hAnsi="黑体" w:eastAsia="黑体"/>
          <w:sz w:val="48"/>
          <w:szCs w:val="48"/>
        </w:rPr>
        <w:t>南昌市城市地价动态监测数据采集与维护</w:t>
      </w:r>
      <w:bookmarkEnd w:id="0"/>
      <w:bookmarkEnd w:id="1"/>
      <w:bookmarkEnd w:id="2"/>
    </w:p>
    <w:p>
      <w:pPr>
        <w:pStyle w:val="10"/>
        <w:spacing w:before="156" w:after="156"/>
        <w:rPr>
          <w:rFonts w:ascii="黑体" w:hAnsi="黑体" w:eastAsia="黑体"/>
          <w:sz w:val="48"/>
          <w:szCs w:val="48"/>
        </w:rPr>
      </w:pPr>
      <w:bookmarkStart w:id="3" w:name="_Toc20407"/>
      <w:bookmarkStart w:id="4" w:name="_Toc20"/>
      <w:bookmarkStart w:id="5" w:name="_Toc23145"/>
      <w:r>
        <w:rPr>
          <w:rFonts w:hint="eastAsia" w:ascii="黑体" w:hAnsi="黑体" w:eastAsia="黑体"/>
          <w:sz w:val="48"/>
          <w:szCs w:val="48"/>
        </w:rPr>
        <w:t>项目绩效评价报告</w:t>
      </w:r>
      <w:bookmarkEnd w:id="3"/>
      <w:bookmarkEnd w:id="4"/>
      <w:bookmarkEnd w:id="5"/>
    </w:p>
    <w:p>
      <w:pPr>
        <w:pStyle w:val="10"/>
        <w:spacing w:before="156" w:after="156" w:line="500" w:lineRule="exact"/>
        <w:outlineLvl w:val="9"/>
        <w:rPr>
          <w:rFonts w:ascii="仿宋" w:hAnsi="仿宋" w:eastAsia="仿宋" w:cs="仿宋"/>
          <w:color w:val="auto"/>
          <w:sz w:val="32"/>
          <w:szCs w:val="32"/>
        </w:rPr>
      </w:pPr>
    </w:p>
    <w:p>
      <w:pPr>
        <w:pStyle w:val="10"/>
        <w:spacing w:before="156" w:after="156"/>
        <w:rPr>
          <w:rFonts w:ascii="仿宋" w:hAnsi="仿宋" w:eastAsia="仿宋" w:cs="仿宋"/>
        </w:rPr>
      </w:pPr>
      <w:bookmarkStart w:id="6" w:name="_Toc5176"/>
      <w:r>
        <w:rPr>
          <w:rFonts w:hint="eastAsia" w:ascii="仿宋" w:hAnsi="仿宋" w:eastAsia="仿宋" w:cs="仿宋"/>
        </w:rPr>
        <w:t>前  言</w:t>
      </w:r>
      <w:bookmarkEnd w:id="6"/>
    </w:p>
    <w:p>
      <w:pPr>
        <w:spacing w:before="156" w:after="156"/>
        <w:ind w:firstLine="600" w:firstLineChars="200"/>
        <w:rPr>
          <w:rFonts w:ascii="仿宋_GB2312" w:hAnsi="宋体"/>
          <w:sz w:val="30"/>
          <w:szCs w:val="30"/>
        </w:rPr>
      </w:pPr>
      <w:bookmarkStart w:id="7" w:name="_Toc352341262"/>
      <w:bookmarkStart w:id="8" w:name="_Toc352416268"/>
      <w:r>
        <w:rPr>
          <w:rFonts w:hint="eastAsia" w:ascii="仿宋_GB2312" w:hAnsi="宋体"/>
          <w:sz w:val="30"/>
          <w:szCs w:val="30"/>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bookmarkEnd w:id="7"/>
      <w:bookmarkEnd w:id="8"/>
      <w:r>
        <w:rPr>
          <w:rFonts w:hint="eastAsia" w:ascii="仿宋_GB2312" w:hAnsi="宋体"/>
          <w:sz w:val="30"/>
          <w:szCs w:val="30"/>
        </w:rPr>
        <w:t>。</w:t>
      </w:r>
    </w:p>
    <w:p>
      <w:pPr>
        <w:spacing w:before="156" w:after="156" w:line="500" w:lineRule="exact"/>
        <w:ind w:firstLine="642"/>
        <w:outlineLvl w:val="0"/>
        <w:rPr>
          <w:rFonts w:ascii="仿宋" w:hAnsi="仿宋" w:eastAsia="仿宋" w:cs="仿宋"/>
          <w:b/>
          <w:bCs/>
          <w:sz w:val="32"/>
          <w:szCs w:val="32"/>
        </w:rPr>
      </w:pPr>
      <w:bookmarkStart w:id="9" w:name="_Toc18498"/>
      <w:r>
        <w:rPr>
          <w:rFonts w:hint="eastAsia" w:ascii="仿宋" w:hAnsi="仿宋" w:eastAsia="仿宋" w:cs="仿宋"/>
          <w:b/>
          <w:bCs/>
          <w:sz w:val="32"/>
          <w:szCs w:val="32"/>
        </w:rPr>
        <w:t>一、基本情况</w:t>
      </w:r>
      <w:bookmarkEnd w:id="9"/>
    </w:p>
    <w:p>
      <w:pPr>
        <w:spacing w:before="156" w:after="156" w:line="500" w:lineRule="exact"/>
        <w:ind w:firstLine="643" w:firstLineChars="200"/>
        <w:outlineLvl w:val="1"/>
        <w:rPr>
          <w:rFonts w:ascii="仿宋" w:hAnsi="仿宋" w:eastAsia="仿宋" w:cs="仿宋"/>
          <w:b/>
          <w:bCs/>
          <w:sz w:val="32"/>
          <w:szCs w:val="32"/>
        </w:rPr>
      </w:pPr>
      <w:bookmarkStart w:id="10" w:name="_Toc14322"/>
      <w:r>
        <w:rPr>
          <w:rFonts w:hint="eastAsia" w:ascii="仿宋" w:hAnsi="仿宋" w:eastAsia="仿宋" w:cs="仿宋"/>
          <w:b/>
          <w:bCs/>
          <w:sz w:val="32"/>
          <w:szCs w:val="32"/>
        </w:rPr>
        <w:t>（一）项目概况</w:t>
      </w:r>
      <w:bookmarkEnd w:id="10"/>
    </w:p>
    <w:p>
      <w:pPr>
        <w:spacing w:before="156" w:after="156" w:line="500" w:lineRule="exact"/>
        <w:ind w:firstLine="602" w:firstLineChars="200"/>
        <w:outlineLvl w:val="2"/>
        <w:rPr>
          <w:rFonts w:ascii="宋体" w:hAnsi="宋体" w:cs="仿宋"/>
          <w:b/>
          <w:bCs/>
          <w:sz w:val="30"/>
          <w:szCs w:val="30"/>
        </w:rPr>
      </w:pPr>
      <w:bookmarkStart w:id="11" w:name="_Toc28133"/>
      <w:r>
        <w:rPr>
          <w:rFonts w:hint="eastAsia" w:ascii="宋体" w:hAnsi="宋体" w:cs="仿宋"/>
          <w:b/>
          <w:bCs/>
          <w:sz w:val="30"/>
          <w:szCs w:val="30"/>
        </w:rPr>
        <w:t>1.项目背景</w:t>
      </w:r>
      <w:bookmarkEnd w:id="11"/>
    </w:p>
    <w:p>
      <w:pPr>
        <w:spacing w:before="156" w:after="156"/>
        <w:ind w:firstLine="600" w:firstLineChars="200"/>
        <w:rPr>
          <w:rFonts w:ascii="宋体" w:hAnsi="宋体"/>
          <w:sz w:val="30"/>
          <w:szCs w:val="30"/>
        </w:rPr>
      </w:pPr>
      <w:r>
        <w:rPr>
          <w:rFonts w:hint="eastAsia" w:ascii="宋体" w:hAnsi="宋体"/>
          <w:sz w:val="30"/>
          <w:szCs w:val="30"/>
        </w:rPr>
        <w:t>为贯彻落实《国务院关于深化改革严格土地管理的决定》（国发〔2004〕28 号）文件精神，确实履行自然资源部门参与宏观调控职能，提高地价信息获取能力，加强土地市场动态变化分析和国民经济运行形势分析，加强政府和土地管理部门对城市土地市场及建设用地的宏观调控作用，我单位根据《关于进一步加强城市地价动态监测工作的通知》（国土资发〔2008〕51 号）和自然资源部工作</w:t>
      </w:r>
      <w:r>
        <w:rPr>
          <w:rFonts w:hint="eastAsia" w:ascii="仿宋_GB2312" w:hAnsi="宋体"/>
          <w:sz w:val="30"/>
          <w:szCs w:val="30"/>
        </w:rPr>
        <w:t>部署要求开展此项目</w:t>
      </w:r>
      <w:r>
        <w:rPr>
          <w:rFonts w:hint="eastAsia" w:ascii="宋体" w:hAnsi="宋体"/>
          <w:sz w:val="30"/>
          <w:szCs w:val="30"/>
        </w:rPr>
        <w:t>。主要的工作内容为南昌市地价动态监测数据采集、地价监测点维护、商品房成本调查及房地产市场调查分析。</w:t>
      </w:r>
    </w:p>
    <w:p>
      <w:pPr>
        <w:spacing w:before="156" w:after="156"/>
        <w:ind w:firstLine="600" w:firstLineChars="200"/>
        <w:rPr>
          <w:rFonts w:ascii="宋体" w:hAnsi="宋体"/>
          <w:sz w:val="30"/>
          <w:szCs w:val="30"/>
        </w:rPr>
      </w:pPr>
      <w:r>
        <w:rPr>
          <w:rFonts w:hint="eastAsia" w:ascii="宋体" w:hAnsi="宋体"/>
          <w:sz w:val="30"/>
          <w:szCs w:val="30"/>
        </w:rPr>
        <w:t>此项目为经常性项目，项目自2003年起开始，后每年重新发布单独的项目部署文件，无跨年度预期总目标及阶段性目标。</w:t>
      </w:r>
    </w:p>
    <w:p>
      <w:pPr>
        <w:spacing w:before="156" w:after="156" w:line="500" w:lineRule="exact"/>
        <w:ind w:firstLine="630" w:firstLineChars="196"/>
        <w:outlineLvl w:val="2"/>
        <w:rPr>
          <w:rFonts w:ascii="仿宋" w:hAnsi="仿宋" w:eastAsia="仿宋" w:cs="仿宋"/>
          <w:b/>
          <w:bCs/>
          <w:sz w:val="32"/>
          <w:szCs w:val="32"/>
        </w:rPr>
      </w:pPr>
      <w:bookmarkStart w:id="12" w:name="_Toc950"/>
      <w:r>
        <w:rPr>
          <w:rFonts w:hint="eastAsia" w:ascii="仿宋" w:hAnsi="仿宋" w:eastAsia="仿宋" w:cs="仿宋"/>
          <w:b/>
          <w:bCs/>
          <w:sz w:val="32"/>
          <w:szCs w:val="32"/>
        </w:rPr>
        <w:t>2.项目目标</w:t>
      </w:r>
      <w:bookmarkEnd w:id="12"/>
    </w:p>
    <w:p>
      <w:pPr>
        <w:spacing w:before="156" w:after="156"/>
        <w:ind w:firstLine="600" w:firstLineChars="200"/>
        <w:rPr>
          <w:rFonts w:ascii="仿宋_GB2312" w:hAnsi="宋体"/>
          <w:sz w:val="30"/>
          <w:szCs w:val="30"/>
        </w:rPr>
      </w:pPr>
      <w:r>
        <w:rPr>
          <w:rFonts w:hint="eastAsia" w:ascii="仿宋_GB2312" w:hAnsi="宋体"/>
          <w:sz w:val="30"/>
          <w:szCs w:val="30"/>
        </w:rPr>
        <w:t xml:space="preserve"> 南昌市城市地价动态监测数据采集、地价监测点维护、商品房成本调查及房地产市场调查分析工作的任务目标是以城市标准宗地为核心，开展标准宗地及地价相关指标数据采集与维护，按照国家要求上报数据，保障国家级城市地价动态监测数据源的及时、真实、准确、完备以及规范，为国土部门参与宏观调控提供基础数据。</w:t>
      </w:r>
    </w:p>
    <w:p>
      <w:pPr>
        <w:spacing w:before="156" w:after="156" w:line="500" w:lineRule="exact"/>
        <w:ind w:firstLine="643" w:firstLineChars="200"/>
        <w:outlineLvl w:val="2"/>
        <w:rPr>
          <w:rFonts w:ascii="仿宋" w:hAnsi="仿宋" w:eastAsia="仿宋" w:cs="仿宋"/>
          <w:color w:val="000000"/>
          <w:sz w:val="32"/>
          <w:szCs w:val="32"/>
        </w:rPr>
      </w:pPr>
      <w:bookmarkStart w:id="13" w:name="_Toc1844"/>
      <w:r>
        <w:rPr>
          <w:rFonts w:hint="eastAsia" w:ascii="仿宋" w:hAnsi="仿宋" w:eastAsia="仿宋" w:cs="仿宋"/>
          <w:b/>
          <w:bCs/>
          <w:sz w:val="32"/>
          <w:szCs w:val="32"/>
        </w:rPr>
        <w:t>3.主要内容及实施情况</w:t>
      </w:r>
      <w:bookmarkEnd w:id="13"/>
    </w:p>
    <w:p>
      <w:pPr>
        <w:spacing w:before="156" w:after="156"/>
        <w:ind w:firstLine="600" w:firstLineChars="200"/>
        <w:rPr>
          <w:rFonts w:ascii="仿宋_GB2312" w:hAnsi="宋体"/>
          <w:sz w:val="30"/>
          <w:szCs w:val="30"/>
        </w:rPr>
      </w:pPr>
      <w:r>
        <w:rPr>
          <w:rFonts w:hint="eastAsia" w:ascii="仿宋_GB2312" w:hAnsi="宋体"/>
          <w:sz w:val="30"/>
          <w:szCs w:val="30"/>
        </w:rPr>
        <w:t>（1）主要内容</w:t>
      </w:r>
    </w:p>
    <w:p>
      <w:pPr>
        <w:spacing w:before="156" w:after="156"/>
        <w:ind w:firstLine="600" w:firstLineChars="200"/>
        <w:rPr>
          <w:rFonts w:ascii="仿宋_GB2312" w:hAnsi="宋体"/>
          <w:sz w:val="30"/>
          <w:szCs w:val="30"/>
        </w:rPr>
      </w:pPr>
      <w:r>
        <w:rPr>
          <w:rFonts w:hint="eastAsia" w:ascii="仿宋_GB2312" w:hAnsi="宋体"/>
          <w:sz w:val="30"/>
          <w:szCs w:val="30"/>
        </w:rPr>
        <w:t>按照 51 号文件和 2019 年部署文要求，完成 南昌市建立在 219.63 平方公里监测范围内，132 个监测点基础上的城市地价动态监测数据采集与地价监测点维护工作，按时、保质、保量提交年度备案资料和季度、年度地价动态监测成果，完成成果资料存档；完成南昌市基于具体楼盘的商品房成本调查与监测。</w:t>
      </w:r>
    </w:p>
    <w:p>
      <w:pPr>
        <w:spacing w:before="156" w:after="156" w:line="500" w:lineRule="exact"/>
        <w:ind w:firstLine="640" w:firstLineChars="200"/>
        <w:rPr>
          <w:rFonts w:ascii="宋体" w:hAnsi="宋体" w:cs="宋体"/>
          <w:color w:val="000000"/>
          <w:sz w:val="32"/>
          <w:szCs w:val="32"/>
        </w:rPr>
      </w:pPr>
      <w:r>
        <w:rPr>
          <w:rFonts w:hint="eastAsia" w:ascii="宋体" w:hAnsi="宋体" w:cs="宋体"/>
          <w:color w:val="000000"/>
          <w:sz w:val="32"/>
          <w:szCs w:val="32"/>
        </w:rPr>
        <w:t>（2）实施情况</w:t>
      </w:r>
    </w:p>
    <w:p>
      <w:pPr>
        <w:spacing w:before="156" w:after="156"/>
        <w:ind w:firstLine="600" w:firstLineChars="200"/>
        <w:rPr>
          <w:rFonts w:ascii="宋体" w:hAnsi="宋体"/>
          <w:sz w:val="30"/>
          <w:szCs w:val="30"/>
        </w:rPr>
      </w:pPr>
      <w:r>
        <w:rPr>
          <w:rFonts w:hint="eastAsia" w:ascii="仿宋_GB2312" w:hAnsi="宋体"/>
          <w:sz w:val="30"/>
          <w:szCs w:val="30"/>
        </w:rPr>
        <w:t>按照“南昌市2019年项目实施方案”的设定任务目标，依据技术依据、技术路线，严谨的按排工作进度，组织土地估价师，在合理的运用经费的基础完成本年度的工作内容：按照51号文和《实施方案》要求，完成南昌市城市地价动态监测数据采集与地价监测点维护工作，按时、保质、保量</w:t>
      </w:r>
      <w:r>
        <w:rPr>
          <w:rFonts w:hint="eastAsia" w:ascii="宋体" w:hAnsi="宋体"/>
          <w:sz w:val="30"/>
          <w:szCs w:val="30"/>
        </w:rPr>
        <w:t>提交年度备案资料和季度、年度地价动态监测成果，完成成果资料存档；完成南昌市基于具体楼盘的的商品房成本调查与监测。</w:t>
      </w:r>
    </w:p>
    <w:p>
      <w:pPr>
        <w:spacing w:before="156" w:after="156"/>
        <w:ind w:firstLine="600" w:firstLineChars="200"/>
        <w:rPr>
          <w:rFonts w:ascii="宋体" w:hAnsi="宋体" w:cs="宋体"/>
          <w:color w:val="000000"/>
          <w:sz w:val="30"/>
          <w:szCs w:val="30"/>
        </w:rPr>
      </w:pPr>
      <w:r>
        <w:rPr>
          <w:rFonts w:ascii="宋体" w:hAnsi="宋体" w:cs="宋体"/>
          <w:color w:val="000000"/>
          <w:sz w:val="30"/>
          <w:szCs w:val="30"/>
        </w:rPr>
        <w:t>①</w:t>
      </w:r>
      <w:r>
        <w:rPr>
          <w:rFonts w:hint="eastAsia" w:ascii="宋体" w:hAnsi="宋体" w:cs="宋体"/>
          <w:color w:val="000000"/>
          <w:sz w:val="30"/>
          <w:szCs w:val="30"/>
        </w:rPr>
        <w:t>实施执行标准</w:t>
      </w:r>
    </w:p>
    <w:p>
      <w:pPr>
        <w:spacing w:before="156" w:after="156"/>
        <w:ind w:firstLine="600" w:firstLineChars="200"/>
        <w:rPr>
          <w:rFonts w:ascii="宋体" w:hAnsi="宋体"/>
          <w:sz w:val="30"/>
          <w:szCs w:val="30"/>
        </w:rPr>
      </w:pPr>
      <w:r>
        <w:rPr>
          <w:rFonts w:hint="eastAsia" w:ascii="宋体" w:hAnsi="宋体"/>
          <w:sz w:val="30"/>
          <w:szCs w:val="30"/>
        </w:rPr>
        <w:t>制定了项目专项资金管理办法，严格按照项目经费预算执行。严格按照国土资发[2008]51号文件和《实施方案》要求，完成南昌市城市地价动态监测数据采集与维护工作，提高工作效率，保证数据的准确性、真实性、及时性、有效性。</w:t>
      </w:r>
    </w:p>
    <w:p>
      <w:pPr>
        <w:spacing w:before="156" w:after="156"/>
        <w:ind w:firstLine="600" w:firstLineChars="200"/>
        <w:rPr>
          <w:rFonts w:ascii="宋体" w:hAnsi="宋体" w:cs="宋体"/>
          <w:color w:val="000000"/>
          <w:sz w:val="30"/>
          <w:szCs w:val="30"/>
        </w:rPr>
      </w:pPr>
      <w:r>
        <w:rPr>
          <w:rFonts w:ascii="宋体" w:hAnsi="宋体" w:cs="宋体"/>
          <w:color w:val="000000"/>
          <w:sz w:val="30"/>
          <w:szCs w:val="30"/>
        </w:rPr>
        <w:t>②</w:t>
      </w:r>
      <w:r>
        <w:rPr>
          <w:rFonts w:hint="eastAsia" w:ascii="宋体" w:hAnsi="宋体" w:cs="宋体"/>
          <w:color w:val="000000"/>
          <w:sz w:val="30"/>
          <w:szCs w:val="30"/>
        </w:rPr>
        <w:t>项目实施期限</w:t>
      </w:r>
    </w:p>
    <w:p>
      <w:pPr>
        <w:spacing w:before="156" w:after="156" w:line="500" w:lineRule="exact"/>
        <w:ind w:firstLine="600" w:firstLineChars="200"/>
        <w:rPr>
          <w:rFonts w:ascii="仿宋_GB2312" w:hAnsi="宋体"/>
          <w:sz w:val="30"/>
          <w:szCs w:val="30"/>
        </w:rPr>
      </w:pPr>
      <w:r>
        <w:rPr>
          <w:rFonts w:hint="eastAsia" w:ascii="仿宋_GB2312" w:hAnsi="宋体"/>
          <w:sz w:val="30"/>
          <w:szCs w:val="30"/>
        </w:rPr>
        <w:t>2019年1月到20</w:t>
      </w:r>
      <w:r>
        <w:rPr>
          <w:rFonts w:ascii="仿宋_GB2312" w:hAnsi="宋体"/>
          <w:sz w:val="30"/>
          <w:szCs w:val="30"/>
        </w:rPr>
        <w:t>19</w:t>
      </w:r>
      <w:r>
        <w:rPr>
          <w:rFonts w:hint="eastAsia" w:ascii="仿宋_GB2312" w:hAnsi="宋体"/>
          <w:sz w:val="30"/>
          <w:szCs w:val="30"/>
        </w:rPr>
        <w:t>年12月。</w:t>
      </w:r>
    </w:p>
    <w:p>
      <w:pPr>
        <w:spacing w:before="156" w:after="156" w:line="500" w:lineRule="exact"/>
        <w:ind w:firstLine="643" w:firstLineChars="200"/>
        <w:outlineLvl w:val="2"/>
        <w:rPr>
          <w:rFonts w:ascii="仿宋" w:hAnsi="仿宋" w:eastAsia="仿宋" w:cs="仿宋"/>
          <w:b/>
          <w:bCs/>
          <w:sz w:val="32"/>
          <w:szCs w:val="32"/>
        </w:rPr>
      </w:pPr>
      <w:bookmarkStart w:id="14" w:name="_Toc10774"/>
      <w:r>
        <w:rPr>
          <w:rFonts w:hint="eastAsia" w:ascii="仿宋" w:hAnsi="仿宋" w:eastAsia="仿宋" w:cs="仿宋"/>
          <w:b/>
          <w:bCs/>
          <w:sz w:val="32"/>
          <w:szCs w:val="32"/>
        </w:rPr>
        <w:t>4.资金投入和使用情况</w:t>
      </w:r>
      <w:bookmarkEnd w:id="14"/>
    </w:p>
    <w:p>
      <w:pPr>
        <w:spacing w:before="156" w:after="156"/>
        <w:ind w:firstLine="600" w:firstLineChars="200"/>
        <w:rPr>
          <w:rFonts w:ascii="宋体" w:hAnsi="宋体"/>
          <w:sz w:val="30"/>
          <w:szCs w:val="30"/>
        </w:rPr>
      </w:pPr>
      <w:r>
        <w:rPr>
          <w:rFonts w:hint="eastAsia" w:ascii="宋体" w:hAnsi="宋体"/>
          <w:sz w:val="30"/>
          <w:szCs w:val="30"/>
        </w:rPr>
        <w:t>关于南昌市2017-2019年城市地价动态监测数据采集与地价监测点维护服务公开招标项目采购项目（采购编号：JXZC2017-09-G003），中标单位南昌正信土地房地产估价咨询有限公司，金额298.8万元（每年99.6万元）。2019年本项目实际收入金额为99.6万元，其中中央经费22万元，地方配套经费77.6万元。</w:t>
      </w:r>
    </w:p>
    <w:p>
      <w:pPr>
        <w:spacing w:before="156" w:after="156"/>
        <w:ind w:firstLine="600" w:firstLineChars="200"/>
        <w:rPr>
          <w:rFonts w:ascii="宋体" w:hAnsi="宋体"/>
          <w:sz w:val="30"/>
          <w:szCs w:val="30"/>
        </w:rPr>
      </w:pPr>
      <w:r>
        <w:rPr>
          <w:rFonts w:hint="eastAsia" w:ascii="宋体" w:hAnsi="宋体"/>
          <w:sz w:val="30"/>
          <w:szCs w:val="30"/>
        </w:rPr>
        <w:t>地方财政预算资金77.6万元，实际地方财政下拨资金77.6万元。项目地方财政资金决算支出77.6万元，其中：人员经费49.02万元，办公费1万元，印刷费0.48万元，邮电费0.2万元，交通费11.70万元，会议费1万元，培训费5万元，劳务费4.2万元，租赁费3万元，专用材料费1万元，设备购置费1万元。</w:t>
      </w:r>
    </w:p>
    <w:p>
      <w:pPr>
        <w:spacing w:before="156" w:after="156"/>
        <w:ind w:firstLine="600" w:firstLineChars="200"/>
        <w:rPr>
          <w:rFonts w:ascii="宋体" w:hAnsi="宋体"/>
          <w:sz w:val="30"/>
          <w:szCs w:val="30"/>
        </w:rPr>
      </w:pPr>
      <w:r>
        <w:rPr>
          <w:rFonts w:hint="eastAsia" w:ascii="宋体" w:hAnsi="宋体"/>
          <w:sz w:val="30"/>
          <w:szCs w:val="30"/>
        </w:rPr>
        <w:t>在经费的实际使用过程中，本年度增加了交通费和邮电费用的支出，实际支出符合预算经费总额。</w:t>
      </w:r>
    </w:p>
    <w:p>
      <w:pPr>
        <w:spacing w:before="156" w:after="156" w:line="500" w:lineRule="exact"/>
        <w:ind w:firstLine="321" w:firstLineChars="100"/>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5" w:name="_Toc1228"/>
      <w:r>
        <w:rPr>
          <w:rFonts w:hint="eastAsia" w:ascii="仿宋" w:hAnsi="仿宋" w:eastAsia="仿宋" w:cs="仿宋"/>
          <w:b/>
          <w:bCs/>
          <w:sz w:val="32"/>
          <w:szCs w:val="32"/>
        </w:rPr>
        <w:t>5.项目组织管理流程情况</w:t>
      </w:r>
      <w:bookmarkEnd w:id="15"/>
    </w:p>
    <w:p>
      <w:pPr>
        <w:spacing w:before="156" w:after="156"/>
        <w:ind w:firstLine="600" w:firstLineChars="200"/>
        <w:rPr>
          <w:rFonts w:hint="eastAsia" w:ascii="宋体" w:hAnsi="宋体"/>
          <w:sz w:val="30"/>
          <w:szCs w:val="30"/>
          <w:highlight w:val="yellow"/>
        </w:rPr>
      </w:pPr>
      <w:bookmarkStart w:id="16" w:name="_Toc2119"/>
      <w:r>
        <w:rPr>
          <w:rFonts w:hint="eastAsia" w:ascii="宋体" w:hAnsi="宋体"/>
          <w:sz w:val="30"/>
          <w:szCs w:val="30"/>
        </w:rPr>
        <w:t>南昌市地价动态监测数据采集与维护的基本技术路线为：①确定地价动态监测的范围；建立以标准宗地为基础的地价动态监测数据源；②采集并处理监测数据③根据监测目标选择地价动态监测指标④计算各类地价动态监测指标⑤编制城市地价动态监测报告⑥上报并发布城市地价动态监测信息。具体组织管理情况如下：</w:t>
      </w:r>
    </w:p>
    <w:p>
      <w:pPr>
        <w:spacing w:before="156" w:after="156"/>
        <w:ind w:firstLine="600" w:firstLineChars="200"/>
        <w:rPr>
          <w:rFonts w:ascii="宋体" w:hAnsi="宋体"/>
          <w:sz w:val="30"/>
          <w:szCs w:val="30"/>
        </w:rPr>
      </w:pPr>
      <w:r>
        <w:rPr>
          <w:rFonts w:hint="eastAsia" w:ascii="宋体" w:hAnsi="宋体"/>
          <w:sz w:val="30"/>
          <w:szCs w:val="30"/>
        </w:rPr>
        <w:t>（1）南昌市国土资源局成立了以分管副局长为组长，相关对口业务处室及财务处负责人为成员的南昌市城市地价动态监测工作领导小组，主办业务处室确定为南昌市土地利用处；</w:t>
      </w:r>
    </w:p>
    <w:p>
      <w:pPr>
        <w:spacing w:before="156" w:after="156"/>
        <w:ind w:firstLine="600" w:firstLineChars="200"/>
        <w:rPr>
          <w:rFonts w:ascii="宋体" w:hAnsi="宋体"/>
          <w:sz w:val="30"/>
          <w:szCs w:val="30"/>
        </w:rPr>
      </w:pPr>
      <w:r>
        <w:rPr>
          <w:rFonts w:hint="eastAsia" w:ascii="宋体" w:hAnsi="宋体"/>
          <w:sz w:val="30"/>
          <w:szCs w:val="30"/>
        </w:rPr>
        <w:t>（2）南昌市国土资源局按照国家及省级的统一要求落实南昌正信土地房地产估价咨询有限公司做为南昌市城市地价动态监测技术承担单位；</w:t>
      </w:r>
    </w:p>
    <w:p>
      <w:pPr>
        <w:spacing w:before="156" w:after="156"/>
        <w:ind w:firstLine="600" w:firstLineChars="200"/>
        <w:rPr>
          <w:rFonts w:ascii="宋体" w:hAnsi="宋体"/>
          <w:sz w:val="30"/>
          <w:szCs w:val="30"/>
        </w:rPr>
      </w:pPr>
      <w:r>
        <w:rPr>
          <w:rFonts w:hint="eastAsia" w:ascii="宋体" w:hAnsi="宋体"/>
          <w:sz w:val="30"/>
          <w:szCs w:val="30"/>
        </w:rPr>
        <w:t>（3）选择具有土地估价师资格和良好信誉的土地估价师承担标准宗地地价信息采集；</w:t>
      </w:r>
    </w:p>
    <w:p>
      <w:pPr>
        <w:spacing w:before="156" w:after="156"/>
        <w:ind w:firstLine="600" w:firstLineChars="200"/>
        <w:rPr>
          <w:rFonts w:ascii="宋体" w:hAnsi="宋体"/>
          <w:sz w:val="30"/>
          <w:szCs w:val="30"/>
        </w:rPr>
      </w:pPr>
      <w:r>
        <w:rPr>
          <w:rFonts w:hint="eastAsia" w:ascii="宋体" w:hAnsi="宋体"/>
          <w:sz w:val="30"/>
          <w:szCs w:val="30"/>
        </w:rPr>
        <w:t>（4）由技术承担单位对南昌市监测范围、标准宗地的布设进行初步建立。经南昌市国土资源局对监测范围及布设的标准宗地进行审核后最终确定；</w:t>
      </w:r>
    </w:p>
    <w:p>
      <w:pPr>
        <w:spacing w:before="156" w:after="156"/>
        <w:ind w:firstLine="600" w:firstLineChars="200"/>
        <w:rPr>
          <w:rFonts w:ascii="宋体" w:hAnsi="宋体"/>
          <w:sz w:val="30"/>
          <w:szCs w:val="30"/>
        </w:rPr>
      </w:pPr>
      <w:r>
        <w:rPr>
          <w:rFonts w:hint="eastAsia" w:ascii="宋体" w:hAnsi="宋体"/>
          <w:sz w:val="30"/>
          <w:szCs w:val="30"/>
        </w:rPr>
        <w:t>（5）由南昌市国土资源局协助技术单位收集土地交易、土地供应、标准宗地权属登记等基础信息；</w:t>
      </w:r>
    </w:p>
    <w:p>
      <w:pPr>
        <w:spacing w:before="156" w:after="156"/>
        <w:ind w:firstLine="600" w:firstLineChars="200"/>
        <w:rPr>
          <w:rFonts w:ascii="宋体" w:hAnsi="宋体"/>
          <w:sz w:val="30"/>
          <w:szCs w:val="30"/>
        </w:rPr>
      </w:pPr>
      <w:r>
        <w:rPr>
          <w:rFonts w:hint="eastAsia" w:ascii="宋体" w:hAnsi="宋体"/>
          <w:sz w:val="30"/>
          <w:szCs w:val="30"/>
        </w:rPr>
        <w:t>（6）由技术承担单位组织土地估价师现场勘察，并核对相关基础信息资料。将相关工作及时汇总，对不符合标准宗地设立标准的需重新布设标准宗地，并报南昌市国土资源局审核批准；</w:t>
      </w:r>
    </w:p>
    <w:p>
      <w:pPr>
        <w:spacing w:before="156" w:after="156"/>
        <w:ind w:firstLine="600" w:firstLineChars="200"/>
        <w:rPr>
          <w:rFonts w:ascii="宋体" w:hAnsi="宋体"/>
          <w:sz w:val="30"/>
          <w:szCs w:val="30"/>
        </w:rPr>
      </w:pPr>
      <w:r>
        <w:rPr>
          <w:rFonts w:hint="eastAsia" w:ascii="宋体" w:hAnsi="宋体"/>
          <w:sz w:val="30"/>
          <w:szCs w:val="30"/>
        </w:rPr>
        <w:t>（7）技术承担单位根据土地估价师反馈数据，计算各类地价动态监测指标，形成季度、年度监测成果，按部署文件要求形成监测成果上报南昌市国土资源局经南昌市国土资源局审核后，上报成果。</w:t>
      </w:r>
    </w:p>
    <w:p>
      <w:pPr>
        <w:spacing w:before="156" w:after="156"/>
        <w:ind w:firstLine="600" w:firstLineChars="200"/>
        <w:rPr>
          <w:rFonts w:ascii="宋体" w:hAnsi="宋体"/>
          <w:sz w:val="30"/>
          <w:szCs w:val="30"/>
        </w:rPr>
      </w:pPr>
      <w:r>
        <w:rPr>
          <w:rFonts w:hint="eastAsia" w:ascii="宋体" w:hAnsi="宋体"/>
          <w:sz w:val="30"/>
          <w:szCs w:val="30"/>
        </w:rPr>
        <w:t>技术承担单位叶芳负责汇总主持，主要工作内容是负责技术工作和项目的具体安排，成果预检及其汇总；周敏及工作人员吴小强负责检查监测点地价评估、地价指数测算及数据整理；江西农业大学副教授江立武老师，指导监测点地价评估，其他相关工作人员则负责外业调查、数据整理、内业整理、监测点的评估以及后勤包括图件、电子资料的处理。</w:t>
      </w:r>
    </w:p>
    <w:p>
      <w:pPr>
        <w:numPr>
          <w:ilvl w:val="0"/>
          <w:numId w:val="1"/>
        </w:numPr>
        <w:spacing w:before="156" w:after="156" w:line="50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项目绩效目标</w:t>
      </w:r>
      <w:bookmarkEnd w:id="16"/>
    </w:p>
    <w:p>
      <w:pPr>
        <w:spacing w:before="156" w:after="156"/>
        <w:ind w:firstLine="600" w:firstLineChars="200"/>
        <w:rPr>
          <w:rFonts w:ascii="宋体" w:hAnsi="宋体"/>
          <w:sz w:val="30"/>
          <w:szCs w:val="30"/>
        </w:rPr>
      </w:pPr>
      <w:r>
        <w:rPr>
          <w:rFonts w:hint="eastAsia" w:ascii="宋体" w:hAnsi="宋体"/>
          <w:sz w:val="30"/>
          <w:szCs w:val="30"/>
        </w:rPr>
        <w:t>1、总体绩效目标：以城市标准宗地为核心，开展标准宗地及地价相关指标数据采集与维护，按照国家要求上报数据，保障国家级城市地价动态监测数据源的及时、真实、准确、完备以及规范，为自然资源部门参与宏观调控提供基础数据。</w:t>
      </w:r>
    </w:p>
    <w:p>
      <w:pPr>
        <w:spacing w:before="156" w:after="156"/>
        <w:ind w:firstLine="600" w:firstLineChars="200"/>
        <w:rPr>
          <w:rFonts w:ascii="宋体" w:hAnsi="宋体"/>
          <w:sz w:val="30"/>
          <w:szCs w:val="30"/>
        </w:rPr>
      </w:pPr>
      <w:r>
        <w:rPr>
          <w:rFonts w:hint="eastAsia" w:ascii="宋体" w:hAnsi="宋体"/>
          <w:sz w:val="30"/>
          <w:szCs w:val="30"/>
        </w:rPr>
        <w:t>2、阶段性绩效目标</w:t>
      </w:r>
    </w:p>
    <w:p>
      <w:pPr>
        <w:spacing w:before="156" w:after="156"/>
        <w:ind w:firstLine="600" w:firstLineChars="200"/>
        <w:rPr>
          <w:rFonts w:ascii="宋体" w:hAnsi="宋体"/>
          <w:sz w:val="30"/>
          <w:szCs w:val="30"/>
        </w:rPr>
      </w:pPr>
      <w:r>
        <w:rPr>
          <w:rFonts w:hint="eastAsia" w:ascii="宋体" w:hAnsi="宋体"/>
          <w:sz w:val="30"/>
          <w:szCs w:val="30"/>
        </w:rPr>
        <w:t>2019年1-3月，采集一季度地价监测数据，计算各类地价动态监测指标，综合分析评价，如期上报一季度监测数据</w:t>
      </w:r>
    </w:p>
    <w:p>
      <w:pPr>
        <w:spacing w:before="156" w:after="156"/>
        <w:ind w:firstLine="600" w:firstLineChars="200"/>
        <w:rPr>
          <w:rFonts w:ascii="宋体" w:hAnsi="宋体"/>
          <w:sz w:val="30"/>
          <w:szCs w:val="30"/>
        </w:rPr>
      </w:pPr>
      <w:r>
        <w:rPr>
          <w:rFonts w:hint="eastAsia" w:ascii="宋体" w:hAnsi="宋体"/>
          <w:sz w:val="30"/>
          <w:szCs w:val="30"/>
        </w:rPr>
        <w:t>2019年4-6月，采集二季度地价监测数据，计算各类地价动态监测指标，综合分析评价，如期上报二季度监测数据</w:t>
      </w:r>
    </w:p>
    <w:p>
      <w:pPr>
        <w:spacing w:before="156" w:after="156"/>
        <w:ind w:firstLine="600" w:firstLineChars="200"/>
        <w:rPr>
          <w:rFonts w:ascii="宋体" w:hAnsi="宋体"/>
          <w:sz w:val="30"/>
          <w:szCs w:val="30"/>
        </w:rPr>
      </w:pPr>
      <w:r>
        <w:rPr>
          <w:rFonts w:hint="eastAsia" w:ascii="宋体" w:hAnsi="宋体"/>
          <w:sz w:val="30"/>
          <w:szCs w:val="30"/>
        </w:rPr>
        <w:t>2019年7-9月，采集三季度地价监测数据，计算各类地价动态监测指标，综合分析评价，如期上报三季度监测数据，并干7月15日前完成南昌市商品房成本构成调查。</w:t>
      </w:r>
    </w:p>
    <w:p>
      <w:pPr>
        <w:spacing w:before="156" w:after="156"/>
        <w:ind w:firstLine="600" w:firstLineChars="200"/>
        <w:rPr>
          <w:rFonts w:ascii="宋体" w:hAnsi="宋体"/>
          <w:sz w:val="30"/>
          <w:szCs w:val="30"/>
        </w:rPr>
      </w:pPr>
      <w:r>
        <w:rPr>
          <w:rFonts w:hint="eastAsia" w:ascii="宋体" w:hAnsi="宋体"/>
          <w:sz w:val="30"/>
          <w:szCs w:val="30"/>
        </w:rPr>
        <w:t>2019年10-12月，采集四季度地价监测数据，计算各类地价动态监测指标，综合分析评价，编制年度城市地价动态监测报告，如期上报四季度监测数据</w:t>
      </w:r>
    </w:p>
    <w:p>
      <w:pPr>
        <w:spacing w:before="156" w:after="156" w:line="500" w:lineRule="exact"/>
        <w:ind w:firstLine="642"/>
        <w:outlineLvl w:val="0"/>
        <w:rPr>
          <w:rFonts w:ascii="宋体" w:hAnsi="宋体" w:cs="仿宋"/>
          <w:b/>
          <w:bCs/>
          <w:sz w:val="32"/>
          <w:szCs w:val="32"/>
        </w:rPr>
      </w:pPr>
      <w:bookmarkStart w:id="17" w:name="_Toc28627"/>
      <w:r>
        <w:rPr>
          <w:rFonts w:hint="eastAsia" w:ascii="宋体" w:hAnsi="宋体" w:cs="仿宋"/>
          <w:b/>
          <w:bCs/>
          <w:sz w:val="32"/>
          <w:szCs w:val="32"/>
        </w:rPr>
        <w:t>二、绩效评价工作开展情况</w:t>
      </w:r>
      <w:bookmarkEnd w:id="17"/>
    </w:p>
    <w:p>
      <w:pPr>
        <w:spacing w:before="156" w:after="156"/>
        <w:ind w:firstLine="600" w:firstLineChars="200"/>
        <w:rPr>
          <w:rFonts w:ascii="仿宋_GB2312" w:hAnsi="宋体"/>
          <w:sz w:val="30"/>
          <w:szCs w:val="30"/>
        </w:rPr>
      </w:pPr>
      <w:r>
        <w:rPr>
          <w:rFonts w:hint="eastAsia" w:ascii="仿宋_GB2312" w:hAnsi="宋体"/>
          <w:sz w:val="30"/>
          <w:szCs w:val="30"/>
        </w:rPr>
        <w:t>通过调研，对相关文件的解读，根据绩效评价的基本原理、原则和项目特点，结合绩效目标，由项目组按确定的评价指标体系、评分标准、评价方法及相关的工作程序和步骤，通过专家组的评审，并按照专家评审意见确定的工作方案，在规定的时间节点内开展绩效评价工作。</w:t>
      </w:r>
    </w:p>
    <w:p>
      <w:pPr>
        <w:spacing w:before="156" w:after="156" w:line="500" w:lineRule="exact"/>
        <w:ind w:firstLine="643" w:firstLineChars="200"/>
        <w:outlineLvl w:val="1"/>
        <w:rPr>
          <w:rFonts w:ascii="仿宋" w:hAnsi="仿宋" w:eastAsia="仿宋" w:cs="仿宋"/>
          <w:b/>
          <w:bCs/>
          <w:sz w:val="32"/>
          <w:szCs w:val="32"/>
        </w:rPr>
      </w:pPr>
      <w:bookmarkStart w:id="18" w:name="_Toc19295"/>
      <w:r>
        <w:rPr>
          <w:rFonts w:hint="eastAsia" w:ascii="仿宋" w:hAnsi="仿宋" w:eastAsia="仿宋" w:cs="仿宋"/>
          <w:b/>
          <w:bCs/>
          <w:sz w:val="32"/>
          <w:szCs w:val="32"/>
        </w:rPr>
        <w:t>（一）绩效评价目的、对象和范围</w:t>
      </w:r>
      <w:bookmarkEnd w:id="18"/>
    </w:p>
    <w:p>
      <w:pPr>
        <w:spacing w:before="156" w:after="156" w:line="500" w:lineRule="exact"/>
        <w:ind w:firstLine="643" w:firstLineChars="200"/>
        <w:outlineLvl w:val="2"/>
        <w:rPr>
          <w:rFonts w:ascii="仿宋" w:hAnsi="仿宋" w:eastAsia="仿宋" w:cs="仿宋"/>
          <w:b/>
          <w:bCs/>
          <w:sz w:val="32"/>
          <w:szCs w:val="32"/>
        </w:rPr>
      </w:pPr>
      <w:bookmarkStart w:id="19" w:name="_Toc13414"/>
      <w:r>
        <w:rPr>
          <w:rFonts w:hint="eastAsia" w:ascii="仿宋" w:hAnsi="仿宋" w:eastAsia="仿宋" w:cs="仿宋"/>
          <w:b/>
          <w:bCs/>
          <w:sz w:val="32"/>
          <w:szCs w:val="32"/>
        </w:rPr>
        <w:t>（1）绩效评价目的</w:t>
      </w:r>
      <w:bookmarkEnd w:id="19"/>
    </w:p>
    <w:p>
      <w:pPr>
        <w:spacing w:before="156" w:after="156"/>
        <w:ind w:firstLine="600" w:firstLineChars="200"/>
        <w:rPr>
          <w:rFonts w:ascii="仿宋_GB2312" w:hAnsi="宋体"/>
          <w:sz w:val="30"/>
          <w:szCs w:val="30"/>
        </w:rPr>
      </w:pPr>
      <w:r>
        <w:rPr>
          <w:rFonts w:hint="eastAsia" w:ascii="仿宋_GB2312" w:hAnsi="宋体"/>
          <w:sz w:val="30"/>
          <w:szCs w:val="30"/>
        </w:rPr>
        <w:t>通过绩效评价，考察项目的真实性、项目资金的到位率和使用率、项目执行的经济效益和社会效益，同时看到项目的问题及不足，不断调整和改进工作方法，查漏补缺，提高项目实施单位工作效率，为今后的项目实施提供参考，以制定更合理的项目计划方案。</w:t>
      </w:r>
    </w:p>
    <w:p>
      <w:pPr>
        <w:spacing w:before="156" w:after="156" w:line="500" w:lineRule="exact"/>
        <w:ind w:firstLine="643" w:firstLineChars="200"/>
        <w:outlineLvl w:val="2"/>
        <w:rPr>
          <w:rFonts w:ascii="仿宋" w:hAnsi="仿宋" w:eastAsia="仿宋" w:cs="仿宋"/>
          <w:b/>
          <w:bCs/>
          <w:sz w:val="32"/>
          <w:szCs w:val="32"/>
        </w:rPr>
      </w:pPr>
      <w:bookmarkStart w:id="20" w:name="_Toc20602"/>
      <w:r>
        <w:rPr>
          <w:rFonts w:hint="eastAsia" w:ascii="仿宋" w:hAnsi="仿宋" w:eastAsia="仿宋" w:cs="仿宋"/>
          <w:b/>
          <w:bCs/>
          <w:sz w:val="32"/>
          <w:szCs w:val="32"/>
        </w:rPr>
        <w:t>（2）绩效评价对象</w:t>
      </w:r>
      <w:bookmarkEnd w:id="20"/>
    </w:p>
    <w:p>
      <w:pPr>
        <w:spacing w:before="156" w:after="156" w:line="500" w:lineRule="exact"/>
        <w:ind w:firstLine="600" w:firstLineChars="200"/>
        <w:rPr>
          <w:rFonts w:ascii="仿宋_GB2312" w:hAnsi="宋体"/>
          <w:sz w:val="30"/>
          <w:szCs w:val="30"/>
        </w:rPr>
      </w:pPr>
      <w:r>
        <w:rPr>
          <w:rFonts w:hint="eastAsia" w:ascii="仿宋_GB2312" w:hAnsi="宋体"/>
          <w:sz w:val="30"/>
          <w:szCs w:val="30"/>
        </w:rPr>
        <w:t>南昌市城市地价动态监测数据采集与维护项目。</w:t>
      </w:r>
    </w:p>
    <w:p>
      <w:pPr>
        <w:spacing w:before="156" w:after="156" w:line="500" w:lineRule="exact"/>
        <w:ind w:firstLine="643" w:firstLineChars="200"/>
        <w:outlineLvl w:val="2"/>
        <w:rPr>
          <w:rFonts w:ascii="仿宋" w:hAnsi="仿宋" w:eastAsia="仿宋" w:cs="仿宋"/>
          <w:b/>
          <w:bCs/>
          <w:sz w:val="32"/>
          <w:szCs w:val="32"/>
        </w:rPr>
      </w:pPr>
      <w:bookmarkStart w:id="21" w:name="_Toc22577"/>
      <w:r>
        <w:rPr>
          <w:rFonts w:hint="eastAsia" w:ascii="仿宋" w:hAnsi="仿宋" w:eastAsia="仿宋" w:cs="仿宋"/>
          <w:b/>
          <w:bCs/>
          <w:sz w:val="32"/>
          <w:szCs w:val="32"/>
        </w:rPr>
        <w:t>（3）绩效评价范围</w:t>
      </w:r>
      <w:bookmarkEnd w:id="21"/>
    </w:p>
    <w:p>
      <w:pPr>
        <w:spacing w:before="156" w:after="156"/>
        <w:ind w:firstLine="600" w:firstLineChars="200"/>
        <w:rPr>
          <w:rFonts w:ascii="仿宋_GB2312" w:hAnsi="宋体"/>
          <w:sz w:val="30"/>
          <w:szCs w:val="30"/>
        </w:rPr>
      </w:pPr>
      <w:r>
        <w:rPr>
          <w:rFonts w:hint="eastAsia" w:ascii="仿宋_GB2312" w:hAnsi="宋体"/>
          <w:sz w:val="30"/>
          <w:szCs w:val="30"/>
        </w:rPr>
        <w:t>南昌市城市地价动态监测数据采集与维护项目申请安排的2019年度所有财政项目资金（既包含部门预算内的项目资金，也包含追加的各项专项资金）。</w:t>
      </w:r>
    </w:p>
    <w:p>
      <w:pPr>
        <w:spacing w:before="156" w:after="156" w:line="500" w:lineRule="exact"/>
        <w:ind w:firstLine="643" w:firstLineChars="200"/>
        <w:outlineLvl w:val="1"/>
        <w:rPr>
          <w:rFonts w:ascii="仿宋" w:hAnsi="仿宋" w:eastAsia="仿宋" w:cs="仿宋"/>
          <w:b/>
          <w:bCs/>
          <w:sz w:val="32"/>
          <w:szCs w:val="32"/>
        </w:rPr>
      </w:pPr>
      <w:bookmarkStart w:id="22" w:name="_Toc18660"/>
      <w:r>
        <w:rPr>
          <w:rFonts w:hint="eastAsia" w:ascii="仿宋" w:hAnsi="仿宋" w:eastAsia="仿宋" w:cs="仿宋"/>
          <w:b/>
          <w:bCs/>
          <w:sz w:val="32"/>
          <w:szCs w:val="32"/>
        </w:rPr>
        <w:t>（二）绩效评价原则、评价指标体系、评价方法、评价标准</w:t>
      </w:r>
      <w:bookmarkEnd w:id="22"/>
    </w:p>
    <w:p>
      <w:pPr>
        <w:spacing w:before="156" w:after="156" w:line="500" w:lineRule="exact"/>
        <w:ind w:firstLine="643" w:firstLineChars="200"/>
        <w:outlineLvl w:val="2"/>
        <w:rPr>
          <w:rFonts w:ascii="仿宋" w:hAnsi="仿宋" w:eastAsia="仿宋" w:cs="仿宋"/>
          <w:b/>
          <w:bCs/>
          <w:sz w:val="32"/>
          <w:szCs w:val="32"/>
          <w:lang w:bidi="en-US"/>
        </w:rPr>
      </w:pPr>
      <w:bookmarkStart w:id="23" w:name="_Toc19513"/>
      <w:r>
        <w:rPr>
          <w:rFonts w:hint="eastAsia" w:ascii="仿宋" w:hAnsi="仿宋" w:eastAsia="仿宋" w:cs="仿宋"/>
          <w:b/>
          <w:bCs/>
          <w:sz w:val="32"/>
          <w:szCs w:val="32"/>
          <w:lang w:bidi="en-US"/>
        </w:rPr>
        <w:t>（1）绩效评价原则</w:t>
      </w:r>
      <w:bookmarkEnd w:id="23"/>
    </w:p>
    <w:p>
      <w:pPr>
        <w:spacing w:before="156" w:after="156"/>
        <w:ind w:firstLine="600" w:firstLineChars="200"/>
        <w:rPr>
          <w:rFonts w:ascii="宋体" w:hAnsi="宋体" w:cs="宋体"/>
          <w:bCs/>
          <w:sz w:val="30"/>
          <w:szCs w:val="30"/>
        </w:rPr>
      </w:pPr>
      <w:r>
        <w:rPr>
          <w:rFonts w:hint="eastAsia" w:ascii="宋体" w:hAnsi="宋体" w:cs="宋体"/>
          <w:bCs/>
          <w:sz w:val="30"/>
          <w:szCs w:val="30"/>
        </w:rPr>
        <w:t>绩效评价应当遵循以下基本原则：</w:t>
      </w:r>
    </w:p>
    <w:p>
      <w:pPr>
        <w:spacing w:before="156" w:after="156"/>
        <w:ind w:firstLine="600" w:firstLineChars="200"/>
        <w:rPr>
          <w:rFonts w:ascii="宋体" w:hAnsi="宋体" w:cs="宋体"/>
          <w:bCs/>
          <w:sz w:val="30"/>
          <w:szCs w:val="30"/>
        </w:rPr>
      </w:pPr>
      <w:r>
        <w:rPr>
          <w:rFonts w:hint="eastAsia" w:ascii="宋体" w:hAnsi="宋体" w:cs="宋体"/>
          <w:bCs/>
          <w:sz w:val="30"/>
          <w:szCs w:val="30"/>
        </w:rPr>
        <w:t>①科学规范。绩效评价注重财政支出的经济性、效率性和有效性，严格执行规定的程序，采用定量与定性分析相结合的方法。</w:t>
      </w:r>
    </w:p>
    <w:p>
      <w:pPr>
        <w:spacing w:before="156" w:after="156"/>
        <w:ind w:firstLine="600" w:firstLineChars="200"/>
        <w:rPr>
          <w:rFonts w:ascii="宋体" w:hAnsi="宋体" w:cs="宋体"/>
          <w:bCs/>
          <w:sz w:val="30"/>
          <w:szCs w:val="30"/>
        </w:rPr>
      </w:pPr>
      <w:r>
        <w:rPr>
          <w:rFonts w:hint="eastAsia" w:ascii="宋体" w:hAnsi="宋体" w:cs="宋体"/>
          <w:bCs/>
          <w:sz w:val="30"/>
          <w:szCs w:val="30"/>
        </w:rPr>
        <w:t>②公正公开。绩效评价客观、公正，标准统一、资料可靠，依法公开并接受监督。</w:t>
      </w:r>
    </w:p>
    <w:p>
      <w:pPr>
        <w:spacing w:before="156" w:after="156"/>
        <w:ind w:firstLine="600" w:firstLineChars="200"/>
        <w:rPr>
          <w:rFonts w:ascii="宋体" w:hAnsi="宋体" w:cs="宋体"/>
          <w:bCs/>
          <w:sz w:val="30"/>
          <w:szCs w:val="30"/>
        </w:rPr>
      </w:pPr>
      <w:r>
        <w:rPr>
          <w:rFonts w:hint="eastAsia" w:ascii="宋体" w:hAnsi="宋体" w:cs="宋体"/>
          <w:bCs/>
          <w:sz w:val="30"/>
          <w:szCs w:val="30"/>
        </w:rPr>
        <w:t>③分级分类。绩效评价由各级财政部门、部门（单位）根据评价对象的特点，分类组织实施。</w:t>
      </w:r>
    </w:p>
    <w:p>
      <w:pPr>
        <w:spacing w:before="156" w:after="156"/>
        <w:ind w:firstLine="600" w:firstLineChars="200"/>
        <w:rPr>
          <w:rFonts w:ascii="宋体" w:hAnsi="宋体" w:cs="宋体"/>
          <w:bCs/>
          <w:sz w:val="30"/>
          <w:szCs w:val="30"/>
        </w:rPr>
      </w:pPr>
      <w:r>
        <w:rPr>
          <w:rFonts w:hint="eastAsia" w:ascii="宋体" w:hAnsi="宋体" w:cs="宋体"/>
          <w:bCs/>
          <w:sz w:val="30"/>
          <w:szCs w:val="30"/>
        </w:rPr>
        <w:t>④绩效相关。绩效评价针对具体支出及其产出绩效进行，评价结果清晰反映支出和产出绩效之间的紧密对应关系。</w:t>
      </w:r>
    </w:p>
    <w:p>
      <w:pPr>
        <w:spacing w:before="156" w:after="156"/>
        <w:ind w:firstLine="600" w:firstLineChars="200"/>
        <w:rPr>
          <w:rFonts w:ascii="宋体" w:hAnsi="宋体" w:cs="宋体"/>
          <w:bCs/>
          <w:sz w:val="30"/>
          <w:szCs w:val="30"/>
        </w:rPr>
      </w:pPr>
      <w:r>
        <w:rPr>
          <w:rFonts w:hint="eastAsia" w:ascii="宋体" w:hAnsi="宋体" w:cs="宋体"/>
          <w:bCs/>
          <w:sz w:val="30"/>
          <w:szCs w:val="30"/>
        </w:rPr>
        <w:t>根据以上原则，绩效评价应遵循如下要求：</w:t>
      </w:r>
    </w:p>
    <w:p>
      <w:pPr>
        <w:spacing w:before="156" w:after="156"/>
        <w:ind w:firstLine="600" w:firstLineChars="200"/>
        <w:rPr>
          <w:rFonts w:ascii="宋体" w:hAnsi="宋体" w:cs="宋体"/>
          <w:bCs/>
          <w:sz w:val="30"/>
          <w:szCs w:val="30"/>
        </w:rPr>
      </w:pPr>
      <w:r>
        <w:rPr>
          <w:rFonts w:hint="eastAsia" w:ascii="宋体" w:hAnsi="宋体" w:cs="宋体"/>
          <w:bCs/>
          <w:sz w:val="30"/>
          <w:szCs w:val="30"/>
        </w:rPr>
        <w:t>①在数据采集时，采取客观数据，主管部门审查、社会中介组织复查，与问卷调查(电话回访)相结合的形式，以保证各项指标的真实性。</w:t>
      </w:r>
    </w:p>
    <w:p>
      <w:pPr>
        <w:spacing w:before="156" w:after="156"/>
        <w:ind w:firstLine="600" w:firstLineChars="200"/>
        <w:rPr>
          <w:rFonts w:ascii="宋体" w:hAnsi="宋体" w:cs="宋体"/>
          <w:bCs/>
          <w:sz w:val="30"/>
          <w:szCs w:val="30"/>
        </w:rPr>
      </w:pPr>
      <w:r>
        <w:rPr>
          <w:rFonts w:hint="eastAsia" w:ascii="宋体" w:hAnsi="宋体" w:cs="宋体"/>
          <w:bCs/>
          <w:sz w:val="30"/>
          <w:szCs w:val="30"/>
        </w:rPr>
        <w:t>②保证评价结果的真实性、公正性，提高评价报告的公信力。</w:t>
      </w:r>
    </w:p>
    <w:p>
      <w:pPr>
        <w:spacing w:before="156" w:after="156"/>
        <w:ind w:firstLine="600" w:firstLineChars="200"/>
        <w:rPr>
          <w:rFonts w:ascii="宋体" w:hAnsi="宋体" w:cs="宋体"/>
          <w:bCs/>
          <w:sz w:val="30"/>
          <w:szCs w:val="30"/>
        </w:rPr>
      </w:pPr>
      <w:r>
        <w:rPr>
          <w:rFonts w:hint="eastAsia" w:ascii="宋体" w:hAnsi="宋体" w:cs="宋体"/>
          <w:bCs/>
          <w:sz w:val="30"/>
          <w:szCs w:val="30"/>
        </w:rPr>
        <w:t>③绩效评价报告应当简明扼要，除了对绩效评价的过程、结果描述外，还应总结经验，指出问题，并就共性问题提出可操作性改进建议。</w:t>
      </w:r>
      <w:bookmarkStart w:id="24" w:name="_Toc352416282"/>
      <w:bookmarkStart w:id="25" w:name="_Toc361498656"/>
    </w:p>
    <w:p>
      <w:pPr>
        <w:spacing w:before="156" w:after="156" w:line="500" w:lineRule="exact"/>
        <w:ind w:firstLine="643" w:firstLineChars="200"/>
        <w:outlineLvl w:val="2"/>
        <w:rPr>
          <w:rFonts w:ascii="仿宋" w:hAnsi="仿宋" w:eastAsia="仿宋" w:cs="仿宋"/>
          <w:b/>
          <w:bCs/>
          <w:sz w:val="32"/>
          <w:szCs w:val="32"/>
          <w:lang w:bidi="en-US"/>
        </w:rPr>
      </w:pPr>
      <w:bookmarkStart w:id="26" w:name="_Toc15140"/>
      <w:r>
        <w:rPr>
          <w:rFonts w:hint="eastAsia" w:ascii="仿宋" w:hAnsi="仿宋" w:eastAsia="仿宋" w:cs="仿宋"/>
          <w:b/>
          <w:bCs/>
          <w:sz w:val="32"/>
          <w:szCs w:val="32"/>
          <w:lang w:bidi="en-US"/>
        </w:rPr>
        <w:t>（2）评价指标体系</w:t>
      </w:r>
      <w:bookmarkEnd w:id="26"/>
    </w:p>
    <w:p>
      <w:pPr>
        <w:spacing w:before="156" w:after="156"/>
        <w:rPr>
          <w:rFonts w:ascii="仿宋_GB2312" w:hAnsi="宋体"/>
          <w:sz w:val="30"/>
          <w:szCs w:val="30"/>
        </w:rPr>
      </w:pPr>
      <w:r>
        <w:rPr>
          <w:rFonts w:hint="eastAsia" w:ascii="仿宋" w:hAnsi="仿宋" w:eastAsia="仿宋" w:cs="仿宋"/>
          <w:bCs/>
          <w:szCs w:val="28"/>
        </w:rPr>
        <w:t xml:space="preserve">    </w:t>
      </w:r>
      <w:r>
        <w:rPr>
          <w:rFonts w:hint="eastAsia" w:ascii="仿宋_GB2312" w:hAnsi="宋体"/>
          <w:sz w:val="30"/>
          <w:szCs w:val="30"/>
        </w:rPr>
        <w:t>根据财政部《预算效评价共性指标体系框架》等文件精神及项目的具体特点，设置科学合理可行的评价体系，包括项目产出指标（数量指标、质量指标、时效指标、成本指标），效果指标（经济效益指标、社会效益指标、生态效益指标、可持续影响指标），满意度指标（服务对象满意度指标），具体详见（附件2）。</w:t>
      </w:r>
      <w:bookmarkEnd w:id="24"/>
      <w:bookmarkEnd w:id="25"/>
      <w:bookmarkStart w:id="27" w:name="_Toc352416283"/>
      <w:bookmarkStart w:id="28" w:name="_Toc361498657"/>
    </w:p>
    <w:p>
      <w:pPr>
        <w:spacing w:before="156" w:after="156" w:line="500" w:lineRule="exact"/>
        <w:ind w:firstLine="643" w:firstLineChars="200"/>
        <w:outlineLvl w:val="2"/>
        <w:rPr>
          <w:rFonts w:ascii="仿宋" w:hAnsi="仿宋" w:eastAsia="仿宋" w:cs="仿宋"/>
          <w:b/>
          <w:bCs/>
          <w:sz w:val="32"/>
          <w:szCs w:val="32"/>
          <w:lang w:bidi="en-US"/>
        </w:rPr>
      </w:pPr>
      <w:bookmarkStart w:id="29" w:name="_Toc22548"/>
      <w:r>
        <w:rPr>
          <w:rFonts w:hint="eastAsia" w:ascii="仿宋" w:hAnsi="仿宋" w:eastAsia="仿宋" w:cs="仿宋"/>
          <w:b/>
          <w:bCs/>
          <w:sz w:val="32"/>
          <w:szCs w:val="32"/>
          <w:lang w:bidi="en-US"/>
        </w:rPr>
        <w:t>（3）评价方法</w:t>
      </w:r>
      <w:bookmarkEnd w:id="27"/>
      <w:bookmarkEnd w:id="28"/>
      <w:bookmarkEnd w:id="29"/>
    </w:p>
    <w:p>
      <w:pPr>
        <w:spacing w:before="156" w:after="156"/>
        <w:ind w:firstLine="600" w:firstLineChars="200"/>
        <w:rPr>
          <w:rFonts w:ascii="仿宋_GB2312" w:hAnsi="宋体"/>
          <w:sz w:val="30"/>
          <w:szCs w:val="30"/>
        </w:rPr>
      </w:pPr>
      <w:r>
        <w:rPr>
          <w:rFonts w:hint="eastAsia" w:ascii="仿宋_GB2312" w:hAnsi="宋体"/>
          <w:sz w:val="30"/>
          <w:szCs w:val="30"/>
        </w:rPr>
        <w:t>本项目主要采用因素分析法。采取数据对比，标准和抽样调查相结合，同时辅以访谈、研讨、审计等方法。</w:t>
      </w:r>
    </w:p>
    <w:p>
      <w:pPr>
        <w:spacing w:before="156" w:after="156"/>
        <w:ind w:firstLine="600" w:firstLineChars="200"/>
        <w:rPr>
          <w:rFonts w:ascii="仿宋_GB2312" w:hAnsi="宋体"/>
          <w:sz w:val="30"/>
          <w:szCs w:val="30"/>
        </w:rPr>
      </w:pPr>
      <w:r>
        <w:rPr>
          <w:rFonts w:hint="eastAsia" w:ascii="仿宋_GB2312" w:hAnsi="宋体"/>
          <w:sz w:val="30"/>
          <w:szCs w:val="30"/>
        </w:rPr>
        <w:t>调查对象和范围：</w:t>
      </w:r>
    </w:p>
    <w:p>
      <w:pPr>
        <w:spacing w:before="156" w:after="156"/>
        <w:ind w:firstLine="600" w:firstLineChars="200"/>
        <w:rPr>
          <w:rFonts w:ascii="仿宋_GB2312" w:hAnsi="宋体"/>
          <w:sz w:val="30"/>
          <w:szCs w:val="30"/>
        </w:rPr>
      </w:pPr>
      <w:r>
        <w:rPr>
          <w:rFonts w:hint="eastAsia" w:ascii="仿宋_GB2312" w:hAnsi="宋体"/>
          <w:sz w:val="30"/>
          <w:szCs w:val="30"/>
        </w:rPr>
        <w:t>抽样方法：社会公众、服务群众、在职人员填写问卷调查。</w:t>
      </w:r>
    </w:p>
    <w:p>
      <w:pPr>
        <w:spacing w:before="156" w:after="156"/>
        <w:ind w:firstLine="600" w:firstLineChars="200"/>
        <w:rPr>
          <w:rFonts w:ascii="仿宋_GB2312" w:hAnsi="宋体"/>
          <w:sz w:val="30"/>
          <w:szCs w:val="30"/>
        </w:rPr>
      </w:pPr>
      <w:r>
        <w:rPr>
          <w:rFonts w:hint="eastAsia" w:ascii="仿宋_GB2312" w:hAnsi="宋体"/>
          <w:sz w:val="30"/>
          <w:szCs w:val="30"/>
        </w:rPr>
        <w:t>样本数量：60份。</w:t>
      </w:r>
    </w:p>
    <w:p>
      <w:pPr>
        <w:spacing w:before="156" w:after="156" w:line="500" w:lineRule="exact"/>
        <w:ind w:left="420" w:leftChars="200"/>
        <w:outlineLvl w:val="2"/>
        <w:rPr>
          <w:rFonts w:ascii="仿宋" w:hAnsi="仿宋" w:eastAsia="仿宋" w:cs="仿宋"/>
          <w:b/>
          <w:bCs/>
          <w:sz w:val="32"/>
          <w:szCs w:val="32"/>
          <w:lang w:bidi="en-US"/>
        </w:rPr>
      </w:pPr>
      <w:bookmarkStart w:id="30" w:name="_Toc1761"/>
      <w:r>
        <w:rPr>
          <w:rFonts w:hint="eastAsia" w:ascii="仿宋" w:hAnsi="仿宋" w:eastAsia="仿宋" w:cs="仿宋"/>
          <w:b/>
          <w:bCs/>
          <w:sz w:val="32"/>
          <w:szCs w:val="32"/>
          <w:lang w:bidi="en-US"/>
        </w:rPr>
        <w:t>（4）评价标准</w:t>
      </w:r>
      <w:bookmarkEnd w:id="30"/>
    </w:p>
    <w:p>
      <w:pPr>
        <w:spacing w:before="156" w:after="156"/>
        <w:ind w:firstLine="660"/>
        <w:rPr>
          <w:rFonts w:hint="eastAsia" w:ascii="仿宋_GB2312" w:hAnsi="宋体"/>
          <w:sz w:val="30"/>
          <w:szCs w:val="30"/>
        </w:rPr>
      </w:pPr>
      <w:r>
        <w:rPr>
          <w:rFonts w:hint="eastAsia" w:ascii="仿宋_GB2312" w:hAnsi="宋体"/>
          <w:sz w:val="30"/>
          <w:szCs w:val="30"/>
        </w:rPr>
        <w:t>本项目主要采用查阅相关文件、政策、抽查部分银行凭单、会计凭证等资料，并通过访谈、社会调查掌握具体情况，对采集的数据做详细的分析和统计。具体内容见绩效评价工作底稿。</w:t>
      </w:r>
    </w:p>
    <w:p>
      <w:pPr>
        <w:spacing w:before="156" w:after="156"/>
        <w:ind w:firstLine="660"/>
        <w:rPr>
          <w:rFonts w:ascii="仿宋_GB2312" w:hAnsi="宋体"/>
          <w:sz w:val="30"/>
          <w:szCs w:val="30"/>
        </w:rPr>
      </w:pPr>
    </w:p>
    <w:p>
      <w:pPr>
        <w:spacing w:before="156" w:after="156" w:line="500" w:lineRule="exact"/>
        <w:ind w:firstLine="643" w:firstLineChars="200"/>
        <w:outlineLvl w:val="1"/>
        <w:rPr>
          <w:rFonts w:ascii="仿宋" w:hAnsi="仿宋" w:eastAsia="仿宋" w:cs="仿宋"/>
          <w:b/>
          <w:bCs/>
          <w:sz w:val="32"/>
          <w:szCs w:val="32"/>
        </w:rPr>
      </w:pPr>
      <w:bookmarkStart w:id="31" w:name="_Toc24977"/>
      <w:r>
        <w:rPr>
          <w:rFonts w:hint="eastAsia" w:ascii="仿宋" w:hAnsi="仿宋" w:eastAsia="仿宋" w:cs="仿宋"/>
          <w:b/>
          <w:bCs/>
          <w:sz w:val="32"/>
          <w:szCs w:val="32"/>
        </w:rPr>
        <w:t>（三)绩效评价工作过程</w:t>
      </w:r>
      <w:bookmarkEnd w:id="31"/>
    </w:p>
    <w:p>
      <w:pPr>
        <w:spacing w:before="156" w:after="156"/>
        <w:ind w:firstLine="660"/>
        <w:rPr>
          <w:rFonts w:hint="eastAsia" w:ascii="宋体" w:cs="宋体"/>
          <w:bCs/>
          <w:kern w:val="0"/>
          <w:sz w:val="30"/>
          <w:szCs w:val="30"/>
        </w:rPr>
      </w:pPr>
      <w:r>
        <w:rPr>
          <w:rFonts w:hint="eastAsia" w:ascii="仿宋_GB2312" w:hAnsi="宋体" w:cs="Times New Roman"/>
          <w:sz w:val="30"/>
          <w:szCs w:val="30"/>
          <w:lang w:val="en-US" w:eastAsia="zh-CN"/>
        </w:rPr>
        <w:t>1.</w:t>
      </w:r>
      <w:r>
        <w:rPr>
          <w:rFonts w:hint="eastAsia" w:ascii="仿宋_GB2312" w:hAnsi="宋体" w:cs="Times New Roman"/>
          <w:sz w:val="30"/>
          <w:szCs w:val="30"/>
        </w:rPr>
        <w:t>根据《南昌市财政局关于开展2019年度市级部门财政项目支出绩效评价工作的通知》的要求，</w:t>
      </w:r>
      <w:r>
        <w:rPr>
          <w:rFonts w:hint="eastAsia" w:ascii="仿宋_GB2312" w:hAnsi="宋体" w:cs="Times New Roman"/>
          <w:sz w:val="30"/>
          <w:szCs w:val="30"/>
          <w:lang w:eastAsia="zh-CN"/>
        </w:rPr>
        <w:t>局机关召集各相关项目负责人于</w:t>
      </w:r>
      <w:r>
        <w:rPr>
          <w:rFonts w:hint="eastAsia" w:ascii="仿宋_GB2312" w:hAnsi="宋体" w:cs="Times New Roman"/>
          <w:sz w:val="30"/>
          <w:szCs w:val="30"/>
          <w:lang w:val="en-US" w:eastAsia="zh-CN"/>
        </w:rPr>
        <w:t>2020年3月23日开展2019年项目支出绩效评价工作会议，会议中详细探讨该项工作的开展情况，并对金额较大的项目重点分析，要求各项目负责人</w:t>
      </w:r>
      <w:r>
        <w:rPr>
          <w:rFonts w:hint="eastAsia" w:ascii="仿宋_GB2312" w:hAnsi="宋体" w:cs="Times New Roman"/>
          <w:sz w:val="30"/>
          <w:szCs w:val="30"/>
        </w:rPr>
        <w:t>积极开展项目绩效</w:t>
      </w:r>
      <w:r>
        <w:rPr>
          <w:rFonts w:hint="eastAsia" w:ascii="仿宋_GB2312" w:hAnsi="宋体" w:cs="Times New Roman"/>
          <w:sz w:val="30"/>
          <w:szCs w:val="30"/>
          <w:lang w:eastAsia="zh-CN"/>
        </w:rPr>
        <w:t>自评</w:t>
      </w:r>
      <w:r>
        <w:rPr>
          <w:rFonts w:hint="eastAsia" w:ascii="仿宋_GB2312" w:hAnsi="宋体" w:cs="Times New Roman"/>
          <w:sz w:val="30"/>
          <w:szCs w:val="30"/>
        </w:rPr>
        <w:t>工作</w:t>
      </w:r>
      <w:r>
        <w:rPr>
          <w:rFonts w:hint="eastAsia" w:ascii="仿宋_GB2312" w:hAnsi="宋体" w:cs="Times New Roman"/>
          <w:sz w:val="30"/>
          <w:szCs w:val="30"/>
          <w:lang w:eastAsia="zh-CN"/>
        </w:rPr>
        <w:t>。</w:t>
      </w:r>
      <w:r>
        <w:rPr>
          <w:rFonts w:hint="eastAsia" w:ascii="仿宋_GB2312" w:hAnsi="宋体" w:cs="Times New Roman"/>
          <w:sz w:val="30"/>
          <w:szCs w:val="30"/>
          <w:lang w:val="en-US" w:eastAsia="zh-CN"/>
        </w:rPr>
        <w:t>5月15日，</w:t>
      </w:r>
      <w:r>
        <w:rPr>
          <w:rFonts w:hint="eastAsia" w:ascii="仿宋_GB2312" w:hAnsi="宋体" w:cs="Times New Roman"/>
          <w:sz w:val="30"/>
          <w:szCs w:val="30"/>
        </w:rPr>
        <w:t>项目绩效评价小组</w:t>
      </w:r>
      <w:r>
        <w:rPr>
          <w:rFonts w:hint="eastAsia" w:ascii="仿宋_GB2312" w:hAnsi="宋体" w:cs="Times New Roman"/>
          <w:sz w:val="30"/>
          <w:szCs w:val="30"/>
          <w:lang w:eastAsia="zh-CN"/>
        </w:rPr>
        <w:t>在我局</w:t>
      </w:r>
      <w:r>
        <w:rPr>
          <w:rFonts w:hint="eastAsia" w:ascii="仿宋_GB2312" w:hAnsi="宋体" w:cs="Times New Roman"/>
          <w:sz w:val="30"/>
          <w:szCs w:val="30"/>
          <w:lang w:val="en-US" w:eastAsia="zh-CN"/>
        </w:rPr>
        <w:t>1929会议室</w:t>
      </w:r>
      <w:r>
        <w:rPr>
          <w:rFonts w:hint="eastAsia" w:ascii="仿宋_GB2312" w:hAnsi="宋体" w:cs="Times New Roman"/>
          <w:sz w:val="30"/>
          <w:szCs w:val="30"/>
        </w:rPr>
        <w:t>根据项目情况讨论研究进行复评并形成评价报告。</w:t>
      </w:r>
    </w:p>
    <w:p>
      <w:pPr>
        <w:pStyle w:val="4"/>
        <w:ind w:firstLine="600"/>
        <w:rPr>
          <w:rFonts w:ascii="宋体" w:cs="宋体"/>
          <w:bCs/>
          <w:kern w:val="0"/>
          <w:sz w:val="30"/>
          <w:szCs w:val="30"/>
        </w:rPr>
      </w:pPr>
      <w:r>
        <w:rPr>
          <w:rFonts w:hint="eastAsia" w:ascii="宋体" w:cs="宋体"/>
          <w:bCs/>
          <w:kern w:val="0"/>
          <w:sz w:val="30"/>
          <w:szCs w:val="30"/>
          <w:lang w:val="en-US" w:eastAsia="zh-CN"/>
        </w:rPr>
        <w:t>2</w:t>
      </w:r>
      <w:r>
        <w:rPr>
          <w:rFonts w:hint="eastAsia" w:ascii="宋体" w:cs="宋体"/>
          <w:bCs/>
          <w:kern w:val="0"/>
          <w:sz w:val="30"/>
          <w:szCs w:val="30"/>
        </w:rPr>
        <w:t>.评价结果</w:t>
      </w:r>
    </w:p>
    <w:p>
      <w:pPr>
        <w:pStyle w:val="4"/>
        <w:ind w:firstLine="600"/>
        <w:rPr>
          <w:rFonts w:ascii="宋体" w:cs="宋体"/>
          <w:bCs/>
          <w:kern w:val="0"/>
          <w:sz w:val="30"/>
          <w:szCs w:val="30"/>
        </w:rPr>
      </w:pPr>
      <w:r>
        <w:rPr>
          <w:rFonts w:hint="eastAsia" w:ascii="宋体" w:cs="宋体"/>
          <w:bCs/>
          <w:kern w:val="0"/>
          <w:sz w:val="30"/>
          <w:szCs w:val="30"/>
        </w:rPr>
        <w:t>围绕绩效评价指标体系，通过数据采集分析，实地检查及电话回访等方式，对该项目绩效进行了客观、公开的评价，最终自评结果为95分，复评结果为95分，评价等级为优。</w:t>
      </w:r>
    </w:p>
    <w:p>
      <w:pPr>
        <w:spacing w:before="156" w:after="156" w:line="500" w:lineRule="exact"/>
        <w:ind w:firstLine="643" w:firstLineChars="200"/>
        <w:outlineLvl w:val="1"/>
        <w:rPr>
          <w:rFonts w:ascii="仿宋" w:hAnsi="仿宋" w:eastAsia="仿宋" w:cs="仿宋"/>
          <w:b/>
          <w:bCs/>
          <w:sz w:val="32"/>
          <w:szCs w:val="32"/>
        </w:rPr>
      </w:pPr>
      <w:bookmarkStart w:id="32" w:name="_Toc18883"/>
      <w:r>
        <w:rPr>
          <w:rFonts w:hint="eastAsia" w:ascii="仿宋" w:hAnsi="仿宋" w:eastAsia="仿宋" w:cs="仿宋"/>
          <w:b/>
          <w:bCs/>
          <w:sz w:val="32"/>
          <w:szCs w:val="32"/>
        </w:rPr>
        <w:t>（四）本次绩效评价的局限性</w:t>
      </w:r>
      <w:bookmarkEnd w:id="32"/>
    </w:p>
    <w:p>
      <w:pPr>
        <w:spacing w:before="156" w:after="156"/>
        <w:ind w:firstLine="600" w:firstLineChars="200"/>
        <w:rPr>
          <w:rFonts w:ascii="宋体" w:hAnsi="宋体" w:cs="宋体"/>
          <w:kern w:val="0"/>
          <w:sz w:val="30"/>
          <w:szCs w:val="30"/>
        </w:rPr>
      </w:pPr>
      <w:r>
        <w:rPr>
          <w:rFonts w:hint="eastAsia" w:ascii="宋体" w:hAnsi="宋体" w:cs="宋体"/>
          <w:kern w:val="0"/>
          <w:sz w:val="30"/>
          <w:szCs w:val="30"/>
        </w:rPr>
        <w:t>评价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未能充分掌握项目资金存在的问题。</w:t>
      </w:r>
      <w:bookmarkStart w:id="33" w:name="_Toc301632357"/>
      <w:bookmarkStart w:id="34" w:name="_Toc352341272"/>
      <w:bookmarkStart w:id="35" w:name="_Toc352416291"/>
    </w:p>
    <w:bookmarkEnd w:id="33"/>
    <w:p>
      <w:pPr>
        <w:pStyle w:val="11"/>
        <w:numPr>
          <w:ilvl w:val="0"/>
          <w:numId w:val="2"/>
        </w:numPr>
        <w:spacing w:before="156" w:after="156" w:line="500" w:lineRule="exact"/>
        <w:jc w:val="left"/>
        <w:rPr>
          <w:rFonts w:ascii="仿宋" w:hAnsi="仿宋" w:eastAsia="仿宋" w:cs="仿宋"/>
          <w:sz w:val="32"/>
          <w:szCs w:val="32"/>
        </w:rPr>
      </w:pPr>
      <w:bookmarkStart w:id="36" w:name="_Toc361498667"/>
      <w:bookmarkStart w:id="37" w:name="_Toc23852"/>
      <w:r>
        <w:rPr>
          <w:rFonts w:hint="eastAsia" w:ascii="仿宋" w:hAnsi="仿宋" w:eastAsia="仿宋" w:cs="仿宋"/>
          <w:sz w:val="32"/>
          <w:szCs w:val="32"/>
        </w:rPr>
        <w:t>综合评价情况及评价结论</w:t>
      </w:r>
      <w:bookmarkEnd w:id="34"/>
      <w:bookmarkEnd w:id="35"/>
      <w:bookmarkEnd w:id="36"/>
      <w:bookmarkEnd w:id="37"/>
      <w:bookmarkStart w:id="38" w:name="_Toc361498668"/>
      <w:bookmarkStart w:id="39" w:name="_Toc352416292"/>
    </w:p>
    <w:tbl>
      <w:tblPr>
        <w:tblStyle w:val="7"/>
        <w:tblW w:w="0" w:type="auto"/>
        <w:jc w:val="center"/>
        <w:tblLayout w:type="fixed"/>
        <w:tblCellMar>
          <w:top w:w="0" w:type="dxa"/>
          <w:left w:w="108" w:type="dxa"/>
          <w:bottom w:w="0" w:type="dxa"/>
          <w:right w:w="108" w:type="dxa"/>
        </w:tblCellMar>
      </w:tblPr>
      <w:tblGrid>
        <w:gridCol w:w="640"/>
        <w:gridCol w:w="1064"/>
        <w:gridCol w:w="1091"/>
        <w:gridCol w:w="1095"/>
        <w:gridCol w:w="1285"/>
        <w:gridCol w:w="1215"/>
        <w:gridCol w:w="885"/>
        <w:gridCol w:w="117"/>
        <w:gridCol w:w="558"/>
        <w:gridCol w:w="210"/>
        <w:gridCol w:w="435"/>
        <w:gridCol w:w="490"/>
        <w:gridCol w:w="769"/>
      </w:tblGrid>
      <w:tr>
        <w:tblPrEx>
          <w:tblCellMar>
            <w:top w:w="0" w:type="dxa"/>
            <w:left w:w="108" w:type="dxa"/>
            <w:bottom w:w="0" w:type="dxa"/>
            <w:right w:w="108" w:type="dxa"/>
          </w:tblCellMar>
        </w:tblPrEx>
        <w:trPr>
          <w:trHeight w:val="454" w:hRule="exact"/>
          <w:jc w:val="center"/>
        </w:trPr>
        <w:tc>
          <w:tcPr>
            <w:tcW w:w="9854" w:type="dxa"/>
            <w:gridSpan w:val="13"/>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854" w:type="dxa"/>
            <w:gridSpan w:val="13"/>
            <w:tcBorders>
              <w:top w:val="nil"/>
              <w:left w:val="nil"/>
              <w:bottom w:val="single" w:color="auto" w:sz="4" w:space="0"/>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 2019 年度）</w:t>
            </w:r>
          </w:p>
        </w:tc>
      </w:tr>
      <w:tr>
        <w:tblPrEx>
          <w:tblCellMar>
            <w:top w:w="0" w:type="dxa"/>
            <w:left w:w="108" w:type="dxa"/>
            <w:bottom w:w="0" w:type="dxa"/>
            <w:right w:w="108" w:type="dxa"/>
          </w:tblCellMar>
        </w:tblPrEx>
        <w:trPr>
          <w:trHeight w:val="300" w:hRule="exac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项目名称</w:t>
            </w:r>
          </w:p>
        </w:tc>
        <w:tc>
          <w:tcPr>
            <w:tcW w:w="815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南昌市城市地价动态监测数据采集与维护</w:t>
            </w:r>
          </w:p>
        </w:tc>
      </w:tr>
      <w:tr>
        <w:tblPrEx>
          <w:tblCellMar>
            <w:top w:w="0" w:type="dxa"/>
            <w:left w:w="108" w:type="dxa"/>
            <w:bottom w:w="0" w:type="dxa"/>
            <w:right w:w="108" w:type="dxa"/>
          </w:tblCellMar>
        </w:tblPrEx>
        <w:trPr>
          <w:trHeight w:val="601" w:hRule="exac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主管部门</w:t>
            </w:r>
          </w:p>
        </w:tc>
        <w:tc>
          <w:tcPr>
            <w:tcW w:w="468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南昌市自然资源局</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29" w:leftChars="-14" w:right="-53" w:rightChars="-25"/>
              <w:jc w:val="center"/>
              <w:rPr>
                <w:rFonts w:ascii="黑体" w:hAnsi="宋体" w:eastAsia="黑体" w:cs="宋体"/>
                <w:kern w:val="0"/>
                <w:szCs w:val="21"/>
              </w:rPr>
            </w:pPr>
            <w:r>
              <w:rPr>
                <w:rFonts w:hint="eastAsia" w:ascii="黑体" w:hAnsi="宋体" w:eastAsia="黑体" w:cs="宋体"/>
                <w:kern w:val="0"/>
                <w:szCs w:val="21"/>
              </w:rPr>
              <w:t>实施单位</w:t>
            </w:r>
          </w:p>
        </w:tc>
        <w:tc>
          <w:tcPr>
            <w:tcW w:w="246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南昌正信土地房地产估价咨询有限公司</w:t>
            </w:r>
          </w:p>
        </w:tc>
      </w:tr>
      <w:tr>
        <w:tblPrEx>
          <w:tblCellMar>
            <w:top w:w="0" w:type="dxa"/>
            <w:left w:w="108" w:type="dxa"/>
            <w:bottom w:w="0" w:type="dxa"/>
            <w:right w:w="108" w:type="dxa"/>
          </w:tblCellMar>
        </w:tblPrEx>
        <w:trPr>
          <w:trHeight w:val="495" w:hRule="exact"/>
          <w:jc w:val="center"/>
        </w:trPr>
        <w:tc>
          <w:tcPr>
            <w:tcW w:w="17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执行数</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9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执行率</w:t>
            </w: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354"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年度资金总额</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77.6</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77.6</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77.6</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9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r>
      <w:tr>
        <w:tblPrEx>
          <w:tblCellMar>
            <w:top w:w="0" w:type="dxa"/>
            <w:left w:w="108" w:type="dxa"/>
            <w:bottom w:w="0" w:type="dxa"/>
            <w:right w:w="108" w:type="dxa"/>
          </w:tblCellMar>
        </w:tblPrEx>
        <w:trPr>
          <w:trHeight w:val="358"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其中：当年财政拨款</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7"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上年结转资金</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55"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其他资金</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00" w:hRule="exact"/>
          <w:jc w:val="center"/>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75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46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2184"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75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20" w:firstLineChars="200"/>
              <w:jc w:val="left"/>
              <w:rPr>
                <w:rFonts w:ascii="黑体" w:hAnsi="宋体" w:eastAsia="黑体" w:cs="宋体"/>
                <w:kern w:val="0"/>
                <w:szCs w:val="21"/>
              </w:rPr>
            </w:pPr>
            <w:r>
              <w:rPr>
                <w:rFonts w:hint="eastAsia" w:ascii="黑体" w:hAnsi="宋体" w:eastAsia="黑体" w:cs="宋体"/>
                <w:kern w:val="0"/>
                <w:szCs w:val="21"/>
              </w:rPr>
              <w:t>按照 51 号文件和 2019 年部署文要求，完成 南昌市建立在 219.63 平方公里监测范围内，132 个监测点基础上的城市地价动态监测数据采集与地价监测点维护工作，按时、保质、保量提交年度备案资料和季度、年度地价动态监测成果，完成成果资料存档；完成 南昌市基于具体楼盘的商品房成本调查与监测。</w:t>
            </w:r>
          </w:p>
        </w:tc>
        <w:tc>
          <w:tcPr>
            <w:tcW w:w="346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20" w:firstLineChars="200"/>
              <w:jc w:val="left"/>
              <w:rPr>
                <w:rFonts w:ascii="黑体" w:hAnsi="宋体" w:eastAsia="黑体" w:cs="宋体"/>
                <w:kern w:val="0"/>
                <w:szCs w:val="21"/>
              </w:rPr>
            </w:pPr>
            <w:r>
              <w:rPr>
                <w:rFonts w:hint="eastAsia" w:ascii="黑体" w:hAnsi="宋体" w:eastAsia="黑体" w:cs="宋体"/>
                <w:kern w:val="0"/>
                <w:szCs w:val="21"/>
              </w:rPr>
              <w:t>南昌市2019年实际完成了2019年度备案资料工作、2019年1-4季度南昌市季度城市地价动态监测数据采集与维护项目成果工作、商品房成本构成调查、2019年度南昌市年度工作报告编写工作和年度成果相关数据采集与维护工作，并完成相关成果的资料存档工作。</w:t>
            </w:r>
          </w:p>
        </w:tc>
      </w:tr>
      <w:tr>
        <w:tblPrEx>
          <w:tblCellMar>
            <w:top w:w="0" w:type="dxa"/>
            <w:left w:w="108" w:type="dxa"/>
            <w:bottom w:w="0" w:type="dxa"/>
            <w:right w:w="108" w:type="dxa"/>
          </w:tblCellMar>
        </w:tblPrEx>
        <w:trPr>
          <w:trHeight w:val="703" w:hRule="exact"/>
          <w:jc w:val="center"/>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偏差原因分析及改进措施</w:t>
            </w:r>
          </w:p>
        </w:tc>
      </w:tr>
      <w:tr>
        <w:tblPrEx>
          <w:tblCellMar>
            <w:top w:w="0" w:type="dxa"/>
            <w:left w:w="108" w:type="dxa"/>
            <w:bottom w:w="0" w:type="dxa"/>
            <w:right w:w="108" w:type="dxa"/>
          </w:tblCellMar>
        </w:tblPrEx>
        <w:trPr>
          <w:trHeight w:val="353"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完成成果报告数</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13</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13</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8</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8</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57"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每个监测点配备土地估价师人数</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2</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2</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8</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8</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highlight w:val="yellow"/>
              </w:rPr>
            </w:pPr>
          </w:p>
        </w:tc>
      </w:tr>
      <w:tr>
        <w:tblPrEx>
          <w:tblCellMar>
            <w:top w:w="0" w:type="dxa"/>
            <w:left w:w="108" w:type="dxa"/>
            <w:bottom w:w="0" w:type="dxa"/>
            <w:right w:w="108" w:type="dxa"/>
          </w:tblCellMar>
        </w:tblPrEx>
        <w:trPr>
          <w:trHeight w:val="1026"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南昌市监测点数量</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127</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51" w:leftChars="-72" w:right="-27" w:rightChars="-13"/>
              <w:jc w:val="center"/>
              <w:rPr>
                <w:rFonts w:ascii="黑体" w:hAnsi="宋体" w:eastAsia="黑体" w:cs="宋体"/>
                <w:color w:val="000000"/>
                <w:kern w:val="0"/>
                <w:szCs w:val="21"/>
              </w:rPr>
            </w:pPr>
            <w:r>
              <w:rPr>
                <w:rFonts w:hint="eastAsia" w:ascii="黑体" w:hAnsi="宋体" w:eastAsia="黑体" w:cs="宋体"/>
                <w:color w:val="000000"/>
                <w:kern w:val="0"/>
                <w:szCs w:val="21"/>
              </w:rPr>
              <w:t>1季度132个，2-4季度127个</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4</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4</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09"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监测数据准确率</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8</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8</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02"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地价采集准确率</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7</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18"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项目完成及时，期限在规定期限内完成</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color w:val="000000"/>
                <w:kern w:val="0"/>
                <w:szCs w:val="21"/>
              </w:rPr>
              <w:t>期限在规定期限内完成</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color w:val="000000"/>
                <w:kern w:val="0"/>
                <w:szCs w:val="21"/>
              </w:rPr>
              <w:t>100%</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70"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仿宋_GB2312" w:hAnsi="仿宋_GB2312" w:eastAsia="仿宋_GB2312" w:cs="仿宋_GB2312"/>
                <w:szCs w:val="21"/>
              </w:rPr>
            </w:pPr>
            <w:r>
              <w:rPr>
                <w:rFonts w:hint="eastAsia" w:ascii="黑体" w:hAnsi="宋体" w:eastAsia="黑体" w:cs="宋体"/>
                <w:kern w:val="0"/>
                <w:szCs w:val="21"/>
              </w:rPr>
              <w:t>（10分）</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szCs w:val="21"/>
              </w:rPr>
            </w:pPr>
            <w:r>
              <w:rPr>
                <w:rFonts w:hint="eastAsia" w:ascii="黑体" w:hAnsi="宋体" w:eastAsia="黑体" w:cs="宋体"/>
                <w:kern w:val="0"/>
                <w:szCs w:val="21"/>
              </w:rPr>
              <w:t>南昌市城市地价动态监测数据采集与维护工作量较大，成本控制在</w:t>
            </w:r>
            <w:r>
              <w:rPr>
                <w:rFonts w:hint="eastAsia"/>
                <w:szCs w:val="22"/>
              </w:rPr>
              <w:t>77.6</w:t>
            </w:r>
            <w:r>
              <w:rPr>
                <w:rFonts w:hint="eastAsia" w:ascii="黑体" w:hAnsi="宋体" w:eastAsia="黑体" w:cs="宋体"/>
                <w:kern w:val="0"/>
                <w:szCs w:val="21"/>
              </w:rPr>
              <w:t>万</w:t>
            </w:r>
            <w:r>
              <w:rPr>
                <w:rFonts w:hint="eastAsia" w:ascii="仿宋_GB2312" w:hAnsi="仿宋_GB2312" w:eastAsia="仿宋_GB2312" w:cs="仿宋_GB2312"/>
                <w:szCs w:val="21"/>
              </w:rPr>
              <w:t>元</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全年成本控制为</w:t>
            </w:r>
            <w:r>
              <w:rPr>
                <w:rFonts w:hint="eastAsia"/>
                <w:szCs w:val="22"/>
              </w:rPr>
              <w:t>77.6</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986"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开展该项目为南昌市国土资源局提供准确及时的地价水平及变化趋势信息,为南昌市国土资源局了解房地产市场动态、市场走向、房屋租售比变化趋势是否理性提供信息，为政府土地出让定价提供一定依据。</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71" w:leftChars="-34" w:right="-63" w:rightChars="-30"/>
              <w:jc w:val="center"/>
              <w:rPr>
                <w:rFonts w:ascii="黑体" w:hAnsi="宋体" w:eastAsia="黑体" w:cs="宋体"/>
                <w:kern w:val="0"/>
                <w:szCs w:val="21"/>
              </w:rPr>
            </w:pPr>
            <w:r>
              <w:rPr>
                <w:rFonts w:hint="eastAsia" w:ascii="黑体" w:hAnsi="宋体" w:eastAsia="黑体" w:cs="宋体"/>
                <w:color w:val="000000"/>
                <w:kern w:val="0"/>
                <w:szCs w:val="21"/>
              </w:rPr>
              <w:t>为南昌市国土资源局了解房地产市场动态、市场走向、房屋租售比变化趋势是否理性提供信息，为政府土地出让定价提供一定依据。</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578"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根据城市地价动态监测系统成果，结合其他有关数据，国土资源管理部门更准确地把握某一个地区或城市某一个时期内的土地供应情况、地价水平及地价变化情况，以及土地在商品房成本中的占比情况，从而制定相应的土地供应计划，包括土地供应量、土地供应结构等，目前土地供应计划的制定未与地价监测进行挂钩,由于地价监测已常态化，各项成果发布比较及时，在本市国有建设用地供应计划编制时参考了相关监测数据。为南昌商品房及商铺成本与房地产开发商售价的合理性，能维护社会稳定，促进社会和谐。</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color w:val="000000"/>
                <w:kern w:val="0"/>
                <w:szCs w:val="21"/>
              </w:rPr>
              <w:t>为商品房及商铺成本与房地产开发商售价的合理性，能维护社会稳定，促进社会和谐。</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100%</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95"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457"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城市地价动态监测数据采集与维护项目的进行对南昌市地价数据有良好发展，项目的可持续性长</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对南昌市地价数据有良好发展，项目的可持续性长</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宋体" w:hAnsi="宋体" w:cs="宋体"/>
                <w:kern w:val="0"/>
                <w:szCs w:val="21"/>
              </w:rPr>
              <w:t>≧</w:t>
            </w:r>
            <w:r>
              <w:rPr>
                <w:rFonts w:hint="eastAsia" w:ascii="黑体" w:hAnsi="宋体" w:eastAsia="黑体" w:cs="宋体"/>
                <w:kern w:val="0"/>
                <w:szCs w:val="21"/>
              </w:rPr>
              <w:t>95%</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837" w:hRule="exac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社会公众或服务对象对服务态度满意度</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color w:val="000000"/>
                <w:kern w:val="0"/>
                <w:szCs w:val="21"/>
              </w:rPr>
              <w:t>达到90%以上</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宋体" w:hAnsi="宋体" w:cs="宋体"/>
                <w:kern w:val="0"/>
                <w:szCs w:val="21"/>
              </w:rPr>
              <w:t>≧</w:t>
            </w:r>
            <w:r>
              <w:rPr>
                <w:rFonts w:hint="eastAsia" w:ascii="黑体" w:hAnsi="宋体" w:eastAsia="黑体" w:cs="宋体"/>
                <w:kern w:val="0"/>
                <w:szCs w:val="21"/>
              </w:rPr>
              <w:t>92%</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1" w:hRule="exact"/>
          <w:jc w:val="center"/>
        </w:trPr>
        <w:tc>
          <w:tcPr>
            <w:tcW w:w="7275"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6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95</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bookmarkEnd w:id="38"/>
      <w:bookmarkEnd w:id="39"/>
    </w:tbl>
    <w:p>
      <w:pPr>
        <w:pStyle w:val="11"/>
        <w:spacing w:before="156" w:after="156" w:line="500" w:lineRule="exact"/>
        <w:ind w:firstLine="600"/>
        <w:jc w:val="left"/>
        <w:rPr>
          <w:rFonts w:ascii="仿宋" w:hAnsi="仿宋" w:eastAsia="仿宋" w:cs="仿宋"/>
          <w:sz w:val="32"/>
          <w:szCs w:val="32"/>
        </w:rPr>
      </w:pPr>
      <w:bookmarkStart w:id="40" w:name="_Toc2928"/>
      <w:bookmarkStart w:id="41" w:name="_Toc301632365"/>
      <w:bookmarkStart w:id="42" w:name="_Toc352416308"/>
      <w:bookmarkStart w:id="43" w:name="_Toc361498728"/>
      <w:r>
        <w:rPr>
          <w:rFonts w:hint="eastAsia" w:ascii="仿宋" w:hAnsi="仿宋" w:eastAsia="仿宋" w:cs="仿宋"/>
          <w:sz w:val="32"/>
          <w:szCs w:val="32"/>
        </w:rPr>
        <w:t>四、绩效评价指标分析</w:t>
      </w:r>
      <w:bookmarkEnd w:id="40"/>
    </w:p>
    <w:p>
      <w:pPr>
        <w:spacing w:before="156" w:after="156" w:line="500" w:lineRule="exact"/>
        <w:ind w:firstLine="643" w:firstLineChars="200"/>
        <w:outlineLvl w:val="1"/>
        <w:rPr>
          <w:rFonts w:hint="eastAsia" w:ascii="仿宋" w:hAnsi="仿宋" w:eastAsia="仿宋" w:cs="仿宋"/>
          <w:b/>
          <w:bCs/>
          <w:sz w:val="32"/>
          <w:szCs w:val="32"/>
        </w:rPr>
      </w:pPr>
      <w:bookmarkStart w:id="44" w:name="_Toc1503"/>
      <w:r>
        <w:rPr>
          <w:rFonts w:hint="eastAsia" w:ascii="仿宋" w:hAnsi="仿宋" w:eastAsia="仿宋" w:cs="仿宋"/>
          <w:b/>
          <w:bCs/>
          <w:sz w:val="32"/>
          <w:szCs w:val="32"/>
        </w:rPr>
        <w:t>（一）项目决策情况</w:t>
      </w:r>
      <w:bookmarkEnd w:id="44"/>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1. 项目立项指标得分情况分析</w:t>
      </w:r>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项目是按规定程序申请设立，所提交的文件、材料是符合相关要求；项目立项符合法律法规、相关政策、发展规划以及部门职责。</w:t>
      </w:r>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2.绩效目标指标得分情况分析</w:t>
      </w:r>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项目所设定的绩效目标依据充分，符合客观实际；设定的绩效指标清晰、细化、可衡量。</w:t>
      </w:r>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2. 资金投入指标得分情况分析</w:t>
      </w:r>
    </w:p>
    <w:p>
      <w:pPr>
        <w:spacing w:before="156" w:after="156"/>
        <w:ind w:firstLine="600" w:firstLineChars="200"/>
        <w:rPr>
          <w:rFonts w:ascii="宋体" w:hAnsi="宋体" w:cs="宋体"/>
          <w:kern w:val="0"/>
          <w:sz w:val="30"/>
          <w:szCs w:val="30"/>
        </w:rPr>
      </w:pPr>
      <w:r>
        <w:rPr>
          <w:rFonts w:hint="eastAsia" w:ascii="宋体" w:hAnsi="宋体" w:cs="宋体"/>
          <w:kern w:val="0"/>
          <w:sz w:val="30"/>
          <w:szCs w:val="30"/>
        </w:rPr>
        <w:t>项目预算编制经过科学论证、有明确标准，资金额度与年度目标相适应；项目预算资金分配有测算依据，与地方实际相适应。</w:t>
      </w:r>
    </w:p>
    <w:p>
      <w:pPr>
        <w:spacing w:before="156" w:after="156" w:line="500" w:lineRule="exact"/>
        <w:ind w:firstLine="643" w:firstLineChars="200"/>
        <w:outlineLvl w:val="1"/>
        <w:rPr>
          <w:rFonts w:ascii="仿宋" w:hAnsi="仿宋" w:eastAsia="仿宋" w:cs="仿宋"/>
          <w:b/>
          <w:bCs/>
          <w:sz w:val="32"/>
          <w:szCs w:val="32"/>
        </w:rPr>
      </w:pPr>
      <w:bookmarkStart w:id="45" w:name="_Toc28973"/>
      <w:r>
        <w:rPr>
          <w:rFonts w:hint="eastAsia" w:ascii="仿宋" w:hAnsi="仿宋" w:eastAsia="仿宋" w:cs="仿宋"/>
          <w:b/>
          <w:bCs/>
          <w:sz w:val="32"/>
          <w:szCs w:val="32"/>
        </w:rPr>
        <w:t>（二）项目过程情况</w:t>
      </w:r>
      <w:bookmarkEnd w:id="45"/>
    </w:p>
    <w:p>
      <w:pPr>
        <w:spacing w:before="156" w:after="156" w:line="500" w:lineRule="exact"/>
        <w:ind w:firstLine="600" w:firstLineChars="200"/>
        <w:outlineLvl w:val="1"/>
        <w:rPr>
          <w:rFonts w:hint="eastAsia" w:ascii="宋体" w:hAnsi="宋体" w:cs="宋体"/>
          <w:kern w:val="0"/>
          <w:sz w:val="30"/>
          <w:szCs w:val="30"/>
        </w:rPr>
      </w:pPr>
      <w:bookmarkStart w:id="46" w:name="_Toc22630"/>
      <w:r>
        <w:rPr>
          <w:rFonts w:hint="eastAsia" w:ascii="宋体" w:hAnsi="宋体" w:cs="宋体"/>
          <w:kern w:val="0"/>
          <w:sz w:val="30"/>
          <w:szCs w:val="30"/>
        </w:rPr>
        <w:t>1．资金管理指标得分情况分析</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全年预算金额77.6万元，实际到位资金77.6万元，资金到位率100%；全年执行资金77.6万元，预算执行率100%。建立项目资金明细账，专款专用，按照项目实施方案执行项目，科学、合理、有效的使用项目资金。</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2．组织实施指标得分情况分析</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制定了合法、合规、完整的管理制度。项目实施遵守相关法律法规和相关管理规定。</w:t>
      </w:r>
    </w:p>
    <w:p>
      <w:pPr>
        <w:numPr>
          <w:numId w:val="0"/>
        </w:numPr>
        <w:spacing w:before="156" w:after="156" w:line="500" w:lineRule="exact"/>
        <w:ind w:firstLine="600" w:firstLineChars="200"/>
        <w:outlineLvl w:val="1"/>
        <w:rPr>
          <w:rFonts w:hint="eastAsia" w:ascii="宋体" w:hAnsi="宋体" w:cs="宋体"/>
          <w:kern w:val="0"/>
          <w:sz w:val="30"/>
          <w:szCs w:val="30"/>
          <w:lang w:val="en-US" w:eastAsia="zh-CN"/>
        </w:rPr>
      </w:pPr>
      <w:r>
        <w:rPr>
          <w:rFonts w:hint="eastAsia" w:ascii="宋体" w:hAnsi="宋体" w:cs="宋体"/>
          <w:kern w:val="0"/>
          <w:sz w:val="30"/>
          <w:szCs w:val="30"/>
          <w:lang w:val="en-US" w:eastAsia="zh-CN"/>
        </w:rPr>
        <w:t>3.财务管理分析</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default" w:ascii="宋体" w:hAnsi="宋体" w:cs="宋体"/>
          <w:kern w:val="0"/>
          <w:sz w:val="30"/>
          <w:szCs w:val="30"/>
          <w:lang w:val="en-US" w:eastAsia="zh-CN"/>
        </w:rPr>
      </w:pPr>
      <w:r>
        <w:rPr>
          <w:rFonts w:hint="eastAsia" w:ascii="宋体" w:hAnsi="宋体" w:cs="宋体"/>
          <w:kern w:val="0"/>
          <w:sz w:val="30"/>
          <w:szCs w:val="30"/>
          <w:lang w:val="en-US" w:eastAsia="zh-CN"/>
        </w:rPr>
        <w:t>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bookmarkStart w:id="62" w:name="_GoBack"/>
      <w:bookmarkEnd w:id="62"/>
    </w:p>
    <w:p>
      <w:pPr>
        <w:spacing w:before="156" w:after="156" w:line="500" w:lineRule="exact"/>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（三）项目产出情况（50分）</w:t>
      </w:r>
      <w:bookmarkEnd w:id="46"/>
    </w:p>
    <w:p>
      <w:pPr>
        <w:spacing w:before="156" w:after="156" w:line="500" w:lineRule="exact"/>
        <w:ind w:firstLine="600" w:firstLineChars="200"/>
        <w:outlineLvl w:val="1"/>
        <w:rPr>
          <w:rFonts w:hint="eastAsia" w:ascii="宋体" w:hAnsi="宋体" w:cs="宋体"/>
          <w:kern w:val="0"/>
          <w:sz w:val="30"/>
          <w:szCs w:val="30"/>
        </w:rPr>
      </w:pPr>
      <w:bookmarkStart w:id="47" w:name="_Toc28403"/>
      <w:r>
        <w:rPr>
          <w:rFonts w:hint="eastAsia" w:ascii="宋体" w:hAnsi="宋体" w:cs="宋体"/>
          <w:kern w:val="0"/>
          <w:sz w:val="30"/>
          <w:szCs w:val="30"/>
        </w:rPr>
        <w:t>1．数量指标得分情况分析</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按照51号文件和2019年部署文要求，我单位完成了南昌市建立在商业住宅用地202.23平方公里、工业用地260.64平方公里监测范围内，127个监测点（一季度132个监测点，二、三、四季度127个监测点）基础上的城市地价动态监测数据采集与维护工作，每个监测点两名土地估价师监测，标准宗地地价评估报告一季度264个，二-四季度每季度共254个，全年共1026个。按时、保质、保量提交年度备案资料和季度、年度地价动态监测成果，完成成果资料存档；完成南昌市基于具体楼盘的商品房成本调查与监测。其中地价动态监测报告类成果5个，地价动态监测数据类成果5个，地价动态监测图片类成果3个。（20分）</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2．质量指标得分情况分析</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我单位对于监测数据准确率及地价采集准确率均达到100%，有利于南昌市国土资源局了解房地产市场动态、市场走向、房屋租售比变化趋势。更好地为本市国有建设用地供应计划编制提供参考数据。（15分）</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3．时效指标得分情况分析</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项目在规定期限内完成，各项成果发布及时。（5分）</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4．成本指标得分情况分析</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年初项目预算金额为77.6万元，实际决算支出为77.6万元，实际支出符合预算经费总额。南昌市2019年城市地价动态监测数据采集与维护项目工作已100%完成，经费无结余。（9分）</w:t>
      </w:r>
    </w:p>
    <w:bookmarkEnd w:id="47"/>
    <w:p>
      <w:pPr>
        <w:spacing w:before="156" w:after="156" w:line="500" w:lineRule="exact"/>
        <w:ind w:firstLine="643" w:firstLineChars="200"/>
        <w:outlineLvl w:val="1"/>
        <w:rPr>
          <w:rFonts w:ascii="仿宋" w:hAnsi="仿宋" w:eastAsia="仿宋" w:cs="仿宋"/>
          <w:b/>
          <w:bCs/>
          <w:sz w:val="32"/>
          <w:szCs w:val="32"/>
        </w:rPr>
      </w:pPr>
      <w:bookmarkStart w:id="48" w:name="_Toc15487"/>
      <w:r>
        <w:rPr>
          <w:rFonts w:hint="eastAsia" w:ascii="仿宋" w:hAnsi="仿宋" w:eastAsia="仿宋" w:cs="仿宋"/>
          <w:b/>
          <w:bCs/>
          <w:sz w:val="32"/>
          <w:szCs w:val="32"/>
        </w:rPr>
        <w:t>（四）项目效益情况（30分）</w:t>
      </w:r>
      <w:bookmarkEnd w:id="48"/>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1．经济效益指标得分情况分析</w:t>
      </w:r>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开展该项目为南昌市国土资源局提供准确及时的地价水平及变化趋势信息,为南昌市国土资源局了解房地产市场动态、市场走向、房屋租售比变化趋势是否理性提供信息，为政府土地出让定价提供一定依据，但随着城市相关政策出台及建设发展计划变动，原本设定的监测点存在一定局限性，收集的数据可能不够完整，对决策可能存在一定影响（9分）。</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2．社会效益指标得分情况分析</w:t>
      </w:r>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根据城市地价动态监测系统成果，结合其他有关数据，国土资源管理部门更准确地把握某一个地区或城市某一个时期内的土地供应情况、地价水平及地价变化情况，以及土地在商品房成本中的占比情况，从而制定相应的土地供应计划，包括土地供应量、土地供应结构等，目前土地供应计划的制定未与地价监测进行挂钩,由于地价监测已常态化，各项成果发布比较及时，在本市国有建设用地供应计划编制时参考了相关监测数据。为南昌商品房及商铺成本与房地产开发商售价的合理性，能维护社会稳定，促进社会和谐。但随着城市相关政策出台及建设发展计划变动，原本设定的监测点存在一定局限性，收集的数据可能不够完整，对决策可能存在一定影响（9分）。</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3．生态效益指标得分情况分析</w:t>
      </w:r>
    </w:p>
    <w:p>
      <w:pPr>
        <w:spacing w:before="156" w:after="156"/>
        <w:ind w:firstLine="600" w:firstLineChars="200"/>
        <w:rPr>
          <w:rFonts w:hint="eastAsia" w:ascii="宋体" w:hAnsi="宋体" w:cs="宋体"/>
          <w:kern w:val="0"/>
          <w:sz w:val="30"/>
          <w:szCs w:val="30"/>
        </w:rPr>
      </w:pPr>
      <w:r>
        <w:rPr>
          <w:rFonts w:hint="eastAsia" w:ascii="宋体" w:hAnsi="宋体" w:cs="宋体"/>
          <w:kern w:val="0"/>
          <w:sz w:val="30"/>
          <w:szCs w:val="30"/>
        </w:rPr>
        <w:t>不适用。</w:t>
      </w:r>
    </w:p>
    <w:p>
      <w:pPr>
        <w:spacing w:before="156" w:after="156" w:line="500" w:lineRule="exact"/>
        <w:ind w:firstLine="600" w:firstLineChars="200"/>
        <w:outlineLvl w:val="1"/>
        <w:rPr>
          <w:rFonts w:hint="eastAsia" w:ascii="宋体" w:hAnsi="宋体" w:cs="宋体"/>
          <w:kern w:val="0"/>
          <w:sz w:val="30"/>
          <w:szCs w:val="30"/>
        </w:rPr>
      </w:pPr>
      <w:r>
        <w:rPr>
          <w:rFonts w:hint="eastAsia" w:ascii="宋体" w:hAnsi="宋体" w:cs="宋体"/>
          <w:kern w:val="0"/>
          <w:sz w:val="30"/>
          <w:szCs w:val="30"/>
        </w:rPr>
        <w:t>4．可持续影响指标得分情况分析</w:t>
      </w:r>
    </w:p>
    <w:p>
      <w:pPr>
        <w:spacing w:before="156" w:after="156"/>
        <w:ind w:firstLine="600" w:firstLineChars="200"/>
        <w:rPr>
          <w:rFonts w:ascii="仿宋_GB2312"/>
          <w:b/>
          <w:bCs/>
          <w:sz w:val="32"/>
          <w:szCs w:val="32"/>
        </w:rPr>
      </w:pPr>
      <w:r>
        <w:rPr>
          <w:rFonts w:hint="eastAsia" w:ascii="宋体" w:hAnsi="宋体" w:cs="宋体"/>
          <w:kern w:val="0"/>
          <w:sz w:val="30"/>
          <w:szCs w:val="30"/>
        </w:rPr>
        <w:t>城市地价动态监测数据采集与维护项目的进行对南昌市地价数据有良好发展，项目的可持续性长（9分）。</w:t>
      </w:r>
    </w:p>
    <w:p>
      <w:pPr>
        <w:spacing w:before="156" w:after="156" w:line="500" w:lineRule="exact"/>
        <w:ind w:firstLine="643" w:firstLineChars="200"/>
        <w:outlineLvl w:val="1"/>
        <w:rPr>
          <w:rFonts w:ascii="仿宋" w:hAnsi="仿宋" w:eastAsia="仿宋" w:cs="仿宋"/>
          <w:b/>
          <w:bCs/>
          <w:sz w:val="32"/>
          <w:szCs w:val="32"/>
        </w:rPr>
      </w:pPr>
      <w:bookmarkStart w:id="49" w:name="_Toc17237"/>
      <w:r>
        <w:rPr>
          <w:rFonts w:hint="eastAsia" w:ascii="仿宋" w:hAnsi="仿宋" w:eastAsia="仿宋" w:cs="仿宋"/>
          <w:b/>
          <w:bCs/>
          <w:sz w:val="32"/>
          <w:szCs w:val="32"/>
        </w:rPr>
        <w:t>（五）满意度指标（10分）</w:t>
      </w:r>
      <w:bookmarkEnd w:id="49"/>
    </w:p>
    <w:p>
      <w:pPr>
        <w:spacing w:before="156" w:after="156"/>
        <w:ind w:firstLine="600" w:firstLineChars="200"/>
        <w:rPr>
          <w:rFonts w:ascii="宋体" w:hAnsi="宋体" w:cs="宋体"/>
          <w:kern w:val="0"/>
          <w:sz w:val="30"/>
          <w:szCs w:val="30"/>
        </w:rPr>
      </w:pPr>
      <w:bookmarkStart w:id="50" w:name="_Toc31567"/>
      <w:r>
        <w:rPr>
          <w:rFonts w:hint="eastAsia" w:ascii="宋体" w:hAnsi="宋体" w:cs="宋体"/>
          <w:kern w:val="0"/>
          <w:sz w:val="30"/>
          <w:szCs w:val="30"/>
        </w:rPr>
        <w:t>服务对象满意度指标：社会公众或服务对象对服务态度满意度达到92%以上，总计得分9分。</w:t>
      </w:r>
      <w:bookmarkEnd w:id="50"/>
      <w:r>
        <w:rPr>
          <w:rFonts w:hint="eastAsia" w:ascii="宋体" w:hAnsi="宋体" w:cs="宋体"/>
          <w:kern w:val="0"/>
          <w:sz w:val="30"/>
          <w:szCs w:val="30"/>
        </w:rPr>
        <w:t xml:space="preserve">  </w:t>
      </w:r>
    </w:p>
    <w:p>
      <w:pPr>
        <w:pStyle w:val="11"/>
        <w:spacing w:before="156" w:after="156" w:line="500" w:lineRule="exact"/>
        <w:ind w:firstLine="600"/>
        <w:jc w:val="left"/>
        <w:rPr>
          <w:rFonts w:ascii="仿宋" w:hAnsi="仿宋" w:eastAsia="仿宋" w:cs="仿宋"/>
          <w:sz w:val="32"/>
          <w:szCs w:val="32"/>
        </w:rPr>
      </w:pPr>
      <w:bookmarkStart w:id="51" w:name="_Toc21539"/>
      <w:r>
        <w:rPr>
          <w:rFonts w:hint="eastAsia" w:ascii="仿宋" w:hAnsi="仿宋" w:eastAsia="仿宋" w:cs="仿宋"/>
          <w:sz w:val="32"/>
          <w:szCs w:val="32"/>
        </w:rPr>
        <w:t>五、</w:t>
      </w:r>
      <w:bookmarkEnd w:id="41"/>
      <w:r>
        <w:rPr>
          <w:rFonts w:hint="eastAsia" w:ascii="仿宋" w:hAnsi="仿宋" w:eastAsia="仿宋" w:cs="仿宋"/>
          <w:sz w:val="32"/>
          <w:szCs w:val="32"/>
        </w:rPr>
        <w:t>主要经验及做法、存在的问题</w:t>
      </w:r>
      <w:bookmarkEnd w:id="42"/>
      <w:bookmarkEnd w:id="43"/>
      <w:bookmarkStart w:id="52" w:name="_Toc361498729"/>
      <w:bookmarkStart w:id="53" w:name="_Toc352416309"/>
      <w:bookmarkStart w:id="54" w:name="_Toc352341286"/>
      <w:r>
        <w:rPr>
          <w:rFonts w:hint="eastAsia" w:ascii="仿宋" w:hAnsi="仿宋" w:eastAsia="仿宋" w:cs="仿宋"/>
          <w:sz w:val="32"/>
          <w:szCs w:val="32"/>
        </w:rPr>
        <w:t>及原因分析</w:t>
      </w:r>
      <w:bookmarkEnd w:id="51"/>
    </w:p>
    <w:p>
      <w:pPr>
        <w:spacing w:before="156" w:after="156"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(一)主要经验及做法</w:t>
      </w:r>
      <w:bookmarkEnd w:id="52"/>
      <w:bookmarkEnd w:id="53"/>
      <w:bookmarkEnd w:id="54"/>
    </w:p>
    <w:p>
      <w:pPr>
        <w:spacing w:before="156" w:after="156"/>
        <w:ind w:firstLine="600" w:firstLineChars="200"/>
        <w:rPr>
          <w:rFonts w:ascii="宋体" w:hAnsi="宋体" w:cs="宋体"/>
          <w:kern w:val="0"/>
          <w:sz w:val="30"/>
          <w:szCs w:val="30"/>
        </w:rPr>
      </w:pPr>
      <w:bookmarkStart w:id="55" w:name="_Toc22547"/>
      <w:bookmarkStart w:id="56" w:name="_Toc352416310"/>
      <w:bookmarkStart w:id="57" w:name="_Toc361498730"/>
      <w:r>
        <w:rPr>
          <w:rFonts w:hint="eastAsia" w:ascii="宋体" w:hAnsi="宋体" w:cs="宋体"/>
          <w:kern w:val="0"/>
          <w:sz w:val="30"/>
          <w:szCs w:val="30"/>
        </w:rPr>
        <w:t>（1）项目规划准备充分。具体宣传工作实施之前，制定了较完善的活动方案或活动通知，对活动对象、内容、要求、责任分工等进行了规范，使项目得以顺利实施。</w:t>
      </w:r>
      <w:bookmarkEnd w:id="55"/>
    </w:p>
    <w:p>
      <w:pPr>
        <w:spacing w:before="156" w:after="156"/>
        <w:ind w:firstLine="600" w:firstLineChars="200"/>
        <w:rPr>
          <w:rFonts w:ascii="宋体" w:hAnsi="宋体" w:cs="宋体"/>
          <w:kern w:val="0"/>
          <w:sz w:val="30"/>
          <w:szCs w:val="30"/>
        </w:rPr>
      </w:pPr>
      <w:bookmarkStart w:id="58" w:name="_Toc2397"/>
      <w:r>
        <w:rPr>
          <w:rFonts w:hint="eastAsia" w:ascii="宋体" w:hAnsi="宋体" w:cs="宋体"/>
          <w:kern w:val="0"/>
          <w:sz w:val="30"/>
          <w:szCs w:val="30"/>
        </w:rPr>
        <w:t>（2）充分发挥其他职能部门作用。在活动中，充分发挥我自他职能部门的作用，和本单位共同推动项目实施。</w:t>
      </w:r>
      <w:bookmarkEnd w:id="58"/>
    </w:p>
    <w:p>
      <w:pPr>
        <w:spacing w:before="156" w:after="156"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（二）存在的问题</w:t>
      </w:r>
      <w:bookmarkEnd w:id="56"/>
      <w:bookmarkEnd w:id="57"/>
    </w:p>
    <w:p>
      <w:pPr>
        <w:spacing w:before="156" w:after="156"/>
        <w:ind w:firstLine="600" w:firstLineChars="200"/>
        <w:rPr>
          <w:rFonts w:ascii="宋体" w:hAnsi="宋体" w:cs="宋体"/>
          <w:kern w:val="0"/>
          <w:sz w:val="30"/>
          <w:szCs w:val="30"/>
        </w:rPr>
      </w:pPr>
      <w:r>
        <w:rPr>
          <w:rFonts w:hint="eastAsia" w:ascii="宋体" w:hAnsi="宋体" w:cs="宋体"/>
          <w:kern w:val="0"/>
          <w:sz w:val="30"/>
          <w:szCs w:val="30"/>
        </w:rPr>
        <w:t>南昌市青云谱区随着洪都飞机场的搬迁，该区域限高政策已无实际意义，需关注规划调整对此区域地价的影响；昌东片区规划建设昌东高铁站，未来该区域应是规划、征收及供应等方面的重点区域，需加强监测。</w:t>
      </w:r>
    </w:p>
    <w:p>
      <w:pPr>
        <w:spacing w:before="156" w:after="156" w:line="500" w:lineRule="exact"/>
        <w:ind w:firstLine="600" w:firstLineChars="200"/>
        <w:rPr>
          <w:rFonts w:ascii="宋体" w:hAnsi="宋体" w:cs="宋体"/>
          <w:kern w:val="0"/>
          <w:sz w:val="30"/>
          <w:szCs w:val="30"/>
        </w:rPr>
      </w:pPr>
      <w:r>
        <w:rPr>
          <w:rFonts w:hint="eastAsia" w:ascii="宋体" w:hAnsi="宋体" w:cs="宋体"/>
          <w:kern w:val="0"/>
          <w:sz w:val="30"/>
          <w:szCs w:val="30"/>
        </w:rPr>
        <w:t>（三）原因分析</w:t>
      </w:r>
    </w:p>
    <w:p>
      <w:pPr>
        <w:spacing w:before="156" w:after="156"/>
        <w:ind w:firstLine="600" w:firstLineChars="200"/>
        <w:rPr>
          <w:rFonts w:ascii="宋体" w:hAnsi="宋体" w:cs="宋体"/>
          <w:kern w:val="0"/>
          <w:sz w:val="30"/>
          <w:szCs w:val="30"/>
        </w:rPr>
      </w:pPr>
      <w:r>
        <w:rPr>
          <w:rFonts w:ascii="宋体" w:hAnsi="宋体" w:cs="宋体"/>
          <w:kern w:val="0"/>
          <w:sz w:val="30"/>
          <w:szCs w:val="30"/>
        </w:rPr>
        <w:t>城市地价的波动与城市</w:t>
      </w:r>
      <w:r>
        <w:rPr>
          <w:rFonts w:hint="eastAsia" w:ascii="宋体" w:hAnsi="宋体" w:cs="宋体"/>
          <w:kern w:val="0"/>
          <w:sz w:val="30"/>
          <w:szCs w:val="30"/>
        </w:rPr>
        <w:t>出台的相关政策、有关城市建设发生的重大事件等有较大关联，除了固定的监测点需进行数据采集与维护外，还应根据每年的政策变化及城市建设补充或加强监测。</w:t>
      </w:r>
    </w:p>
    <w:p>
      <w:pPr>
        <w:pStyle w:val="11"/>
        <w:spacing w:before="156" w:after="156" w:line="500" w:lineRule="exact"/>
        <w:ind w:firstLine="600"/>
        <w:jc w:val="left"/>
        <w:rPr>
          <w:rFonts w:ascii="仿宋" w:hAnsi="仿宋" w:eastAsia="仿宋" w:cs="仿宋"/>
          <w:sz w:val="32"/>
          <w:szCs w:val="32"/>
        </w:rPr>
      </w:pPr>
      <w:bookmarkStart w:id="59" w:name="_Toc2343"/>
      <w:r>
        <w:rPr>
          <w:rFonts w:hint="eastAsia" w:ascii="仿宋" w:hAnsi="仿宋" w:eastAsia="仿宋" w:cs="仿宋"/>
          <w:sz w:val="32"/>
          <w:szCs w:val="32"/>
        </w:rPr>
        <w:t>六、有关建议</w:t>
      </w:r>
      <w:bookmarkEnd w:id="59"/>
    </w:p>
    <w:p>
      <w:pPr>
        <w:spacing w:before="156" w:after="156"/>
        <w:ind w:firstLine="600" w:firstLineChars="200"/>
        <w:rPr>
          <w:rFonts w:ascii="宋体" w:hAnsi="宋体" w:cs="宋体"/>
          <w:kern w:val="0"/>
          <w:sz w:val="30"/>
          <w:szCs w:val="30"/>
        </w:rPr>
      </w:pPr>
      <w:r>
        <w:rPr>
          <w:rFonts w:hint="eastAsia" w:ascii="宋体" w:hAnsi="宋体" w:cs="宋体"/>
          <w:kern w:val="0"/>
          <w:sz w:val="30"/>
          <w:szCs w:val="30"/>
        </w:rPr>
        <w:t>在进行新一轮的基准地价更新工作的基础上，将近年内供应面积较大的区域纳入监测范围，将未来三年内重点建设区域纳入监测范围，并对部分区段进行补充监测点。</w:t>
      </w:r>
    </w:p>
    <w:p>
      <w:pPr>
        <w:pStyle w:val="11"/>
        <w:numPr>
          <w:ilvl w:val="0"/>
          <w:numId w:val="3"/>
        </w:numPr>
        <w:spacing w:before="156" w:after="156" w:line="500" w:lineRule="exact"/>
        <w:ind w:firstLine="600"/>
        <w:jc w:val="left"/>
        <w:rPr>
          <w:rFonts w:ascii="仿宋" w:hAnsi="仿宋" w:eastAsia="仿宋" w:cs="仿宋"/>
          <w:sz w:val="32"/>
          <w:szCs w:val="32"/>
        </w:rPr>
      </w:pPr>
      <w:bookmarkStart w:id="60" w:name="_Toc18872"/>
      <w:r>
        <w:rPr>
          <w:rFonts w:hint="eastAsia" w:ascii="仿宋" w:hAnsi="仿宋" w:eastAsia="仿宋" w:cs="仿宋"/>
          <w:sz w:val="32"/>
          <w:szCs w:val="32"/>
        </w:rPr>
        <w:t>其他需要说明的问题</w:t>
      </w:r>
      <w:bookmarkEnd w:id="60"/>
    </w:p>
    <w:p>
      <w:pPr>
        <w:spacing w:before="156" w:after="156" w:line="500" w:lineRule="exact"/>
        <w:ind w:firstLine="600" w:firstLineChars="200"/>
        <w:rPr>
          <w:rFonts w:ascii="宋体" w:hAnsi="宋体" w:cs="宋体"/>
          <w:kern w:val="0"/>
          <w:sz w:val="30"/>
          <w:szCs w:val="30"/>
        </w:rPr>
      </w:pPr>
      <w:r>
        <w:rPr>
          <w:rFonts w:hint="eastAsia" w:ascii="宋体" w:hAnsi="宋体" w:cs="宋体"/>
          <w:kern w:val="0"/>
          <w:sz w:val="30"/>
          <w:szCs w:val="30"/>
        </w:rPr>
        <w:t xml:space="preserve"> 无。</w:t>
      </w:r>
    </w:p>
    <w:p>
      <w:pPr>
        <w:ind w:firstLine="403"/>
      </w:pP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1157" w:hRule="exact" w:wrap="around" w:vAnchor="text" w:hAnchor="margin" w:xAlign="outside" w:y="1"/>
      <w:rPr>
        <w:rStyle w:val="9"/>
        <w:rFonts w:ascii="宋体" w:hAnsi="宋体"/>
        <w:sz w:val="28"/>
        <w:szCs w:val="28"/>
      </w:rPr>
    </w:pPr>
    <w:bookmarkStart w:id="61" w:name="OLE_LINK2"/>
    <w:r>
      <w:rPr>
        <w:rStyle w:val="9"/>
        <w:rFonts w:hint="eastAsia" w:ascii="宋体" w:hAnsi="宋体"/>
        <w:sz w:val="28"/>
        <w:szCs w:val="28"/>
      </w:rPr>
      <w:t>─</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1</w:t>
    </w:r>
    <w:r>
      <w:rPr>
        <w:rFonts w:hint="eastAsia" w:ascii="宋体" w:hAnsi="宋体"/>
        <w:sz w:val="28"/>
        <w:szCs w:val="28"/>
      </w:rPr>
      <w:fldChar w:fldCharType="end"/>
    </w:r>
    <w:r>
      <w:rPr>
        <w:rStyle w:val="9"/>
        <w:rFonts w:hint="eastAsia" w:ascii="宋体" w:hAnsi="宋体"/>
        <w:sz w:val="28"/>
        <w:szCs w:val="28"/>
      </w:rPr>
      <w:t>─</w:t>
    </w:r>
  </w:p>
  <w:bookmarkEnd w:id="61"/>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1157" w:hRule="exact" w:wrap="around" w:vAnchor="text" w:hAnchor="margin" w:xAlign="outside" w:y="1"/>
      <w:rPr>
        <w:rStyle w:val="9"/>
        <w:rFonts w:ascii="宋体" w:hAnsi="宋体"/>
        <w:sz w:val="28"/>
        <w:szCs w:val="28"/>
      </w:rPr>
    </w:pPr>
    <w:r>
      <w:rPr>
        <w:rStyle w:val="9"/>
        <w:rFonts w:hint="eastAsia" w:ascii="宋体" w:hAnsi="宋体"/>
        <w:sz w:val="28"/>
        <w:szCs w:val="28"/>
      </w:rPr>
      <w:t>─</w:t>
    </w: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rPr>
      <w:t>4</w:t>
    </w:r>
    <w:r>
      <w:rPr>
        <w:rFonts w:hint="eastAsia" w:ascii="宋体" w:hAnsi="宋体"/>
        <w:sz w:val="28"/>
        <w:szCs w:val="28"/>
      </w:rPr>
      <w:fldChar w:fldCharType="end"/>
    </w:r>
    <w:r>
      <w:rPr>
        <w:rStyle w:val="9"/>
        <w:rFonts w:hint="eastAsia" w:ascii="宋体" w:hAnsi="宋体"/>
        <w:sz w:val="28"/>
        <w:szCs w:val="28"/>
      </w:rPr>
      <w:t>─</w: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D114A"/>
    <w:multiLevelType w:val="singleLevel"/>
    <w:tmpl w:val="9E9D114A"/>
    <w:lvl w:ilvl="0" w:tentative="0">
      <w:start w:val="3"/>
      <w:numFmt w:val="chineseCounting"/>
      <w:suff w:val="nothing"/>
      <w:lvlText w:val="%1、"/>
      <w:lvlJc w:val="left"/>
      <w:pPr>
        <w:ind w:left="642" w:firstLine="0"/>
      </w:pPr>
      <w:rPr>
        <w:rFonts w:hint="eastAsia"/>
      </w:rPr>
    </w:lvl>
  </w:abstractNum>
  <w:abstractNum w:abstractNumId="1">
    <w:nsid w:val="57933B12"/>
    <w:multiLevelType w:val="singleLevel"/>
    <w:tmpl w:val="57933B12"/>
    <w:lvl w:ilvl="0" w:tentative="0">
      <w:start w:val="2"/>
      <w:numFmt w:val="chineseCounting"/>
      <w:suff w:val="nothing"/>
      <w:lvlText w:val="（%1）"/>
      <w:lvlJc w:val="left"/>
    </w:lvl>
  </w:abstractNum>
  <w:abstractNum w:abstractNumId="2">
    <w:nsid w:val="7A4E8C48"/>
    <w:multiLevelType w:val="singleLevel"/>
    <w:tmpl w:val="7A4E8C48"/>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0826CF"/>
    <w:rsid w:val="000261FD"/>
    <w:rsid w:val="000537D9"/>
    <w:rsid w:val="000F0669"/>
    <w:rsid w:val="00115FCB"/>
    <w:rsid w:val="00204454"/>
    <w:rsid w:val="002605B3"/>
    <w:rsid w:val="00263A21"/>
    <w:rsid w:val="003E1912"/>
    <w:rsid w:val="003F3A9F"/>
    <w:rsid w:val="004F5827"/>
    <w:rsid w:val="006968C0"/>
    <w:rsid w:val="006B1934"/>
    <w:rsid w:val="006B19B5"/>
    <w:rsid w:val="006F6358"/>
    <w:rsid w:val="00723AE1"/>
    <w:rsid w:val="007A2724"/>
    <w:rsid w:val="00A458AE"/>
    <w:rsid w:val="00A6251C"/>
    <w:rsid w:val="00B16F69"/>
    <w:rsid w:val="00C033F0"/>
    <w:rsid w:val="00CA20A0"/>
    <w:rsid w:val="00ED3B9F"/>
    <w:rsid w:val="00F32851"/>
    <w:rsid w:val="00F64D58"/>
    <w:rsid w:val="14DD538E"/>
    <w:rsid w:val="39D570F0"/>
    <w:rsid w:val="3B5131A7"/>
    <w:rsid w:val="56BF519F"/>
    <w:rsid w:val="580826CF"/>
    <w:rsid w:val="74CC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480"/>
      <w:contextualSpacing/>
      <w:outlineLvl w:val="0"/>
    </w:pPr>
    <w:rPr>
      <w:rFonts w:ascii="Cambria" w:hAnsi="Cambria"/>
      <w:b/>
      <w:bCs/>
      <w:szCs w:val="28"/>
    </w:rPr>
  </w:style>
  <w:style w:type="paragraph" w:styleId="3">
    <w:name w:val="heading 2"/>
    <w:basedOn w:val="1"/>
    <w:next w:val="1"/>
    <w:qFormat/>
    <w:uiPriority w:val="9"/>
    <w:pPr>
      <w:spacing w:before="200"/>
      <w:outlineLvl w:val="1"/>
    </w:pPr>
    <w:rPr>
      <w:rFonts w:ascii="Cambria" w:hAnsi="Cambria"/>
      <w:b/>
      <w:bCs/>
      <w:sz w:val="26"/>
      <w:szCs w:val="2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仿宋_GB2312" w:hAnsi="宋体"/>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paragraph" w:customStyle="1" w:styleId="10">
    <w:name w:val="标题1 闸北"/>
    <w:basedOn w:val="2"/>
    <w:qFormat/>
    <w:uiPriority w:val="0"/>
    <w:pPr>
      <w:adjustRightInd w:val="0"/>
      <w:snapToGrid w:val="0"/>
      <w:jc w:val="center"/>
    </w:pPr>
    <w:rPr>
      <w:rFonts w:ascii="宋体" w:hAnsi="宋体" w:cs="黑体"/>
      <w:bCs w:val="0"/>
      <w:color w:val="000000"/>
      <w:sz w:val="36"/>
      <w:szCs w:val="36"/>
    </w:rPr>
  </w:style>
  <w:style w:type="paragraph" w:customStyle="1" w:styleId="11">
    <w:name w:val="标题2闸北"/>
    <w:basedOn w:val="3"/>
    <w:qFormat/>
    <w:uiPriority w:val="0"/>
    <w:pPr>
      <w:jc w:val="center"/>
      <w:outlineLvl w:val="0"/>
    </w:pPr>
    <w:rPr>
      <w:rFonts w:ascii="黑体" w:eastAsia="黑体"/>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1247</Words>
  <Characters>7112</Characters>
  <Lines>59</Lines>
  <Paragraphs>16</Paragraphs>
  <TotalTime>0</TotalTime>
  <ScaleCrop>false</ScaleCrop>
  <LinksUpToDate>false</LinksUpToDate>
  <CharactersWithSpaces>8343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2020-06-18T03:10:00Z</dcterms:created>
  <dc:creator>Administrator</dc:creator>
  <cp:lastModifiedBy>璐</cp:lastModifiedBy>
  <dcterms:modified xsi:type="dcterms:W3CDTF">2020-06-19T02:44:42Z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