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黑体" w:hAnsi="宋体" w:eastAsia="黑体" w:cs="Arial"/>
          <w:bCs/>
          <w:sz w:val="32"/>
          <w:szCs w:val="32"/>
        </w:rPr>
      </w:pPr>
      <w:bookmarkStart w:id="0" w:name="_Toc22609"/>
      <w:bookmarkStart w:id="1" w:name="_Toc510967775"/>
      <w:bookmarkStart w:id="2" w:name="_Toc510967583"/>
      <w:bookmarkStart w:id="3" w:name="_Toc510968174"/>
      <w:bookmarkStart w:id="4" w:name="_Toc510969565"/>
      <w:bookmarkStart w:id="5" w:name="_Toc510967945"/>
      <w:r>
        <w:rPr>
          <w:rFonts w:hint="eastAsia" w:ascii="黑体" w:hAnsi="宋体" w:eastAsia="黑体" w:cs="Arial"/>
          <w:bCs/>
          <w:sz w:val="32"/>
          <w:szCs w:val="32"/>
        </w:rPr>
        <w:t>附件4：</w:t>
      </w:r>
    </w:p>
    <w:p>
      <w:pPr>
        <w:rPr>
          <w:rFonts w:hint="eastAsia" w:ascii="黑体" w:hAnsi="宋体" w:eastAsia="黑体" w:cs="Arial"/>
          <w:bCs/>
          <w:sz w:val="32"/>
          <w:szCs w:val="32"/>
        </w:rPr>
      </w:pPr>
    </w:p>
    <w:p>
      <w:pPr>
        <w:ind w:left="0" w:leftChars="0" w:firstLine="0" w:firstLineChars="0"/>
        <w:jc w:val="center"/>
        <w:rPr>
          <w:rFonts w:hint="eastAsia" w:ascii="黑体" w:hAnsi="宋体" w:eastAsia="黑体" w:cs="Arial"/>
          <w:bCs/>
          <w:sz w:val="32"/>
          <w:szCs w:val="32"/>
        </w:rPr>
      </w:pPr>
      <w:r>
        <w:rPr>
          <w:rFonts w:hint="eastAsia" w:ascii="方正小标宋简体" w:hAnsi="宋体" w:eastAsia="方正小标宋简体" w:cs="Arial"/>
          <w:bCs/>
          <w:sz w:val="44"/>
          <w:szCs w:val="44"/>
          <w:lang w:eastAsia="zh-CN"/>
        </w:rPr>
        <w:t>中心城区不动产登记分窗口硬盘及网络光纤采购项目</w:t>
      </w:r>
      <w:r>
        <w:rPr>
          <w:rFonts w:hint="eastAsia" w:ascii="方正小标宋简体" w:hAnsi="宋体" w:eastAsia="方正小标宋简体" w:cs="Arial"/>
          <w:bCs/>
          <w:sz w:val="44"/>
          <w:szCs w:val="44"/>
        </w:rPr>
        <w:t>支出绩效</w:t>
      </w:r>
      <w:r>
        <w:rPr>
          <w:rFonts w:hint="eastAsia" w:ascii="方正小标宋简体" w:hAnsi="宋体" w:eastAsia="方正小标宋简体" w:cs="Arial"/>
          <w:bCs/>
          <w:sz w:val="44"/>
          <w:szCs w:val="44"/>
          <w:lang w:eastAsia="zh-CN"/>
        </w:rPr>
        <w:t>自评</w:t>
      </w:r>
      <w:r>
        <w:rPr>
          <w:rFonts w:hint="eastAsia" w:ascii="方正小标宋简体" w:hAnsi="宋体" w:eastAsia="方正小标宋简体" w:cs="Arial"/>
          <w:bCs/>
          <w:sz w:val="44"/>
          <w:szCs w:val="44"/>
        </w:rPr>
        <w:t>报告</w:t>
      </w:r>
    </w:p>
    <w:p>
      <w:pPr>
        <w:rPr>
          <w:rFonts w:hint="eastAsia" w:ascii="黑体" w:hAnsi="宋体" w:eastAsia="黑体" w:cs="Arial"/>
          <w:bCs/>
          <w:sz w:val="32"/>
          <w:szCs w:val="32"/>
        </w:rPr>
      </w:pPr>
    </w:p>
    <w:p>
      <w:pPr>
        <w:spacing w:line="600" w:lineRule="exact"/>
        <w:ind w:left="0" w:leftChars="0" w:firstLine="0" w:firstLineChars="0"/>
        <w:rPr>
          <w:rFonts w:hint="default" w:ascii="黑体" w:hAnsi="黑体" w:eastAsia="黑体" w:cs="黑体"/>
          <w:bCs/>
          <w:sz w:val="32"/>
          <w:szCs w:val="32"/>
          <w:u w:val="single"/>
          <w:lang w:val="en-US"/>
        </w:rPr>
      </w:pPr>
      <w:r>
        <w:rPr>
          <w:rFonts w:hint="eastAsia" w:ascii="黑体" w:hAnsi="宋体" w:eastAsia="黑体" w:cs="Arial"/>
          <w:bCs/>
          <w:sz w:val="32"/>
          <w:szCs w:val="32"/>
        </w:rPr>
        <w:t>项目名称：</w:t>
      </w:r>
      <w:r>
        <w:rPr>
          <w:rFonts w:hint="eastAsia" w:ascii="黑体" w:hAnsi="黑体" w:eastAsia="黑体" w:cs="黑体"/>
          <w:bCs/>
          <w:sz w:val="32"/>
          <w:szCs w:val="32"/>
          <w:u w:val="single"/>
          <w:lang w:val="en-US" w:eastAsia="zh-CN"/>
        </w:rPr>
        <w:t>中心城区不动产登记分窗口硬盘及网络光纤采购</w:t>
      </w:r>
      <w:r>
        <w:rPr>
          <w:rFonts w:hint="eastAsia" w:ascii="方正小标宋简体" w:hAnsi="宋体" w:eastAsia="方正小标宋简体" w:cs="Arial"/>
          <w:bCs/>
          <w:sz w:val="44"/>
          <w:szCs w:val="44"/>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ind w:left="0" w:leftChars="0" w:firstLine="0" w:firstLineChars="0"/>
        <w:rPr>
          <w:rFonts w:hint="default" w:ascii="黑体" w:hAnsi="宋体" w:eastAsia="黑体" w:cs="Arial"/>
          <w:bCs/>
          <w:sz w:val="32"/>
          <w:szCs w:val="32"/>
          <w:u w:val="single"/>
          <w:lang w:val="en-US" w:eastAsia="zh-CN"/>
        </w:rPr>
      </w:pPr>
      <w:r>
        <w:rPr>
          <w:rFonts w:hint="eastAsia" w:ascii="黑体" w:hAnsi="宋体" w:eastAsia="黑体" w:cs="Arial"/>
          <w:bCs/>
          <w:sz w:val="32"/>
          <w:szCs w:val="32"/>
        </w:rPr>
        <w:t>项目类别：</w:t>
      </w:r>
      <w:r>
        <w:rPr>
          <w:rFonts w:hint="eastAsia" w:ascii="黑体" w:hAnsi="宋体" w:eastAsia="黑体" w:cs="Arial"/>
          <w:bCs/>
          <w:sz w:val="32"/>
          <w:szCs w:val="32"/>
          <w:u w:val="single"/>
          <w:lang w:val="en-US" w:eastAsia="zh-CN"/>
        </w:rPr>
        <w:t xml:space="preserve">         </w:t>
      </w:r>
      <w:r>
        <w:rPr>
          <w:rFonts w:hint="eastAsia" w:ascii="黑体" w:hAnsi="黑体" w:eastAsia="黑体" w:cs="黑体"/>
          <w:bCs/>
          <w:sz w:val="32"/>
          <w:szCs w:val="32"/>
          <w:u w:val="single"/>
          <w:lang w:eastAsia="zh-CN"/>
        </w:rPr>
        <w:t>其他</w:t>
      </w:r>
      <w:r>
        <w:rPr>
          <w:rFonts w:hint="eastAsia" w:ascii="黑体" w:hAnsi="黑体" w:eastAsia="黑体" w:cs="黑体"/>
          <w:bCs/>
          <w:sz w:val="32"/>
          <w:szCs w:val="32"/>
          <w:u w:val="single"/>
        </w:rPr>
        <w:t>类</w:t>
      </w:r>
      <w:r>
        <w:rPr>
          <w:rFonts w:hint="eastAsia" w:ascii="黑体" w:hAnsi="黑体" w:eastAsia="黑体" w:cs="黑体"/>
          <w:bCs/>
          <w:sz w:val="32"/>
          <w:szCs w:val="32"/>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ind w:left="0" w:leftChars="0" w:firstLine="0" w:firstLineChars="0"/>
        <w:rPr>
          <w:rFonts w:hint="default" w:ascii="黑体" w:hAnsi="宋体" w:eastAsia="黑体" w:cs="Arial"/>
          <w:bCs/>
          <w:sz w:val="32"/>
          <w:szCs w:val="32"/>
          <w:u w:val="single"/>
          <w:lang w:val="en-US" w:eastAsia="zh-CN"/>
        </w:rPr>
      </w:pPr>
      <w:r>
        <w:rPr>
          <w:rFonts w:hint="eastAsia" w:ascii="黑体" w:hAnsi="宋体" w:eastAsia="黑体" w:cs="Arial"/>
          <w:bCs/>
          <w:sz w:val="32"/>
          <w:szCs w:val="32"/>
        </w:rPr>
        <w:t>实施单位：</w:t>
      </w:r>
      <w:r>
        <w:rPr>
          <w:rFonts w:hint="eastAsia" w:ascii="黑体" w:hAnsi="宋体" w:eastAsia="黑体" w:cs="Arial"/>
          <w:bCs/>
          <w:sz w:val="32"/>
          <w:szCs w:val="32"/>
          <w:u w:val="single"/>
          <w:lang w:val="en-US" w:eastAsia="zh-CN"/>
        </w:rPr>
        <w:t xml:space="preserve">    南昌市国土资源档案信息中心              </w:t>
      </w:r>
    </w:p>
    <w:p>
      <w:pPr>
        <w:spacing w:line="600" w:lineRule="exact"/>
        <w:rPr>
          <w:rFonts w:hint="eastAsia" w:ascii="黑体" w:hAnsi="宋体" w:eastAsia="黑体" w:cs="Arial"/>
          <w:bCs/>
          <w:sz w:val="32"/>
          <w:szCs w:val="32"/>
        </w:rPr>
      </w:pPr>
    </w:p>
    <w:p>
      <w:pPr>
        <w:spacing w:line="600" w:lineRule="exact"/>
        <w:ind w:left="0" w:leftChars="0" w:firstLine="0" w:firstLineChars="0"/>
        <w:rPr>
          <w:rFonts w:hint="eastAsia" w:ascii="黑体" w:hAnsi="宋体" w:eastAsia="黑体" w:cs="Arial"/>
          <w:bCs/>
          <w:sz w:val="32"/>
          <w:szCs w:val="32"/>
        </w:rPr>
      </w:pPr>
      <w:r>
        <w:rPr>
          <w:rFonts w:hint="eastAsia" w:ascii="黑体" w:hAnsi="宋体" w:eastAsia="黑体" w:cs="Arial"/>
          <w:bCs/>
          <w:sz w:val="32"/>
          <w:szCs w:val="32"/>
        </w:rPr>
        <w:t>主管部门：</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lang w:eastAsia="zh-CN"/>
        </w:rPr>
        <w:t>南昌市自然资源局</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rPr>
        <w:t xml:space="preserve">     （盖章）</w:t>
      </w:r>
    </w:p>
    <w:p>
      <w:pPr>
        <w:spacing w:line="600" w:lineRule="exact"/>
        <w:rPr>
          <w:rFonts w:hint="eastAsia" w:ascii="黑体" w:hAnsi="宋体" w:eastAsia="黑体" w:cs="Arial"/>
          <w:bCs/>
          <w:sz w:val="32"/>
          <w:szCs w:val="32"/>
        </w:rPr>
      </w:pPr>
    </w:p>
    <w:p>
      <w:pPr>
        <w:spacing w:line="600" w:lineRule="exact"/>
        <w:ind w:left="0" w:leftChars="0" w:firstLine="0" w:firstLineChars="0"/>
        <w:rPr>
          <w:rFonts w:hint="eastAsia" w:ascii="黑体" w:hAnsi="宋体" w:eastAsia="黑体" w:cs="Arial"/>
          <w:bCs/>
          <w:sz w:val="32"/>
          <w:szCs w:val="32"/>
        </w:rPr>
      </w:pPr>
      <w:r>
        <w:rPr>
          <w:rFonts w:hint="eastAsia" w:ascii="黑体" w:hAnsi="宋体" w:eastAsia="黑体" w:cs="Arial"/>
          <w:bCs/>
          <w:sz w:val="32"/>
          <w:szCs w:val="32"/>
        </w:rPr>
        <w:t>评价机构：</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rPr>
        <w:t>（盖章）</w:t>
      </w:r>
    </w:p>
    <w:p>
      <w:pPr>
        <w:spacing w:line="600" w:lineRule="exact"/>
        <w:rPr>
          <w:rFonts w:hint="eastAsia" w:ascii="黑体" w:hAnsi="宋体" w:eastAsia="黑体" w:cs="Arial"/>
          <w:bCs/>
          <w:sz w:val="32"/>
          <w:szCs w:val="32"/>
        </w:rPr>
      </w:pPr>
    </w:p>
    <w:p>
      <w:pPr>
        <w:spacing w:line="600" w:lineRule="exact"/>
        <w:ind w:left="0" w:leftChars="0" w:firstLine="0" w:firstLineChars="0"/>
        <w:rPr>
          <w:rFonts w:hint="eastAsia" w:ascii="黑体" w:hAnsi="宋体" w:eastAsia="黑体" w:cs="Arial"/>
          <w:bCs/>
          <w:sz w:val="32"/>
          <w:szCs w:val="32"/>
        </w:rPr>
      </w:pPr>
      <w:r>
        <w:rPr>
          <w:rFonts w:hint="eastAsia" w:ascii="黑体" w:hAnsi="宋体" w:eastAsia="黑体" w:cs="Arial"/>
          <w:bCs/>
          <w:sz w:val="32"/>
          <w:szCs w:val="32"/>
        </w:rPr>
        <w:t>评价年度：</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2019年</w:t>
      </w:r>
      <w:r>
        <w:rPr>
          <w:rFonts w:hint="eastAsia" w:ascii="黑体" w:hAnsi="黑体" w:eastAsia="黑体" w:cs="黑体"/>
          <w:bCs/>
          <w:sz w:val="32"/>
          <w:szCs w:val="32"/>
          <w:u w:val="single"/>
        </w:rPr>
        <w:t xml:space="preserve">                      </w:t>
      </w:r>
    </w:p>
    <w:p>
      <w:pPr>
        <w:rPr>
          <w:rFonts w:hint="eastAsia" w:ascii="黑体" w:hAnsi="宋体" w:eastAsia="黑体" w:cs="Arial"/>
          <w:bCs/>
          <w:sz w:val="32"/>
          <w:szCs w:val="32"/>
        </w:rPr>
      </w:pPr>
    </w:p>
    <w:p>
      <w:pPr>
        <w:jc w:val="center"/>
        <w:rPr>
          <w:rFonts w:hint="eastAsia" w:ascii="黑体" w:hAnsi="宋体" w:eastAsia="黑体" w:cs="Arial"/>
          <w:bCs/>
          <w:sz w:val="32"/>
          <w:szCs w:val="32"/>
        </w:rPr>
      </w:pPr>
    </w:p>
    <w:p>
      <w:pPr>
        <w:jc w:val="center"/>
        <w:rPr>
          <w:rFonts w:hint="eastAsia" w:ascii="黑体" w:hAnsi="宋体" w:eastAsia="黑体" w:cs="Arial"/>
          <w:bCs/>
          <w:sz w:val="32"/>
          <w:szCs w:val="32"/>
        </w:rPr>
      </w:pPr>
    </w:p>
    <w:p>
      <w:pPr>
        <w:jc w:val="center"/>
        <w:rPr>
          <w:rFonts w:hint="eastAsia" w:ascii="黑体" w:hAnsi="宋体" w:eastAsia="黑体" w:cs="Arial"/>
          <w:bCs/>
          <w:sz w:val="32"/>
          <w:szCs w:val="32"/>
        </w:rPr>
      </w:pPr>
      <w:r>
        <w:rPr>
          <w:rFonts w:hint="eastAsia" w:ascii="黑体" w:hAnsi="宋体" w:eastAsia="黑体" w:cs="Arial"/>
          <w:bCs/>
          <w:sz w:val="32"/>
          <w:szCs w:val="32"/>
          <w:lang w:val="en-US" w:eastAsia="zh-CN"/>
        </w:rPr>
        <w:t>2020</w:t>
      </w:r>
      <w:r>
        <w:rPr>
          <w:rFonts w:hint="eastAsia" w:ascii="黑体" w:hAnsi="宋体" w:eastAsia="黑体" w:cs="Arial"/>
          <w:bCs/>
          <w:sz w:val="32"/>
          <w:szCs w:val="32"/>
        </w:rPr>
        <w:t xml:space="preserve">年 </w:t>
      </w:r>
      <w:r>
        <w:rPr>
          <w:rFonts w:hint="eastAsia" w:ascii="黑体" w:hAnsi="宋体" w:eastAsia="黑体" w:cs="Arial"/>
          <w:bCs/>
          <w:sz w:val="32"/>
          <w:szCs w:val="32"/>
          <w:lang w:val="en-US" w:eastAsia="zh-CN"/>
        </w:rPr>
        <w:t>4</w:t>
      </w:r>
      <w:r>
        <w:rPr>
          <w:rFonts w:hint="eastAsia" w:ascii="黑体" w:hAnsi="宋体" w:eastAsia="黑体" w:cs="Arial"/>
          <w:bCs/>
          <w:sz w:val="32"/>
          <w:szCs w:val="32"/>
        </w:rPr>
        <w:t xml:space="preserve">  月 </w:t>
      </w:r>
      <w:r>
        <w:rPr>
          <w:rFonts w:hint="eastAsia" w:ascii="黑体" w:hAnsi="宋体" w:eastAsia="黑体" w:cs="Arial"/>
          <w:bCs/>
          <w:sz w:val="32"/>
          <w:szCs w:val="32"/>
          <w:lang w:val="en-US" w:eastAsia="zh-CN"/>
        </w:rPr>
        <w:t>13</w:t>
      </w:r>
      <w:r>
        <w:rPr>
          <w:rFonts w:hint="eastAsia" w:ascii="黑体" w:hAnsi="宋体" w:eastAsia="黑体" w:cs="Arial"/>
          <w:bCs/>
          <w:sz w:val="32"/>
          <w:szCs w:val="32"/>
        </w:rPr>
        <w:t>日</w:t>
      </w:r>
    </w:p>
    <w:p>
      <w:pPr>
        <w:pStyle w:val="2"/>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rPr>
        <w:t>年度</w:t>
      </w:r>
      <w:bookmarkEnd w:id="0"/>
      <w:bookmarkStart w:id="6" w:name="_Toc12571"/>
      <w:r>
        <w:rPr>
          <w:rFonts w:hint="eastAsia" w:ascii="仿宋" w:hAnsi="仿宋" w:eastAsia="仿宋" w:cs="仿宋"/>
        </w:rPr>
        <w:t>中心城区增设不动产登记窗口所需设备购买经费项目绩效</w:t>
      </w:r>
      <w:r>
        <w:rPr>
          <w:rFonts w:hint="eastAsia" w:ascii="仿宋" w:hAnsi="仿宋" w:eastAsia="仿宋" w:cs="仿宋"/>
          <w:lang w:eastAsia="zh-CN"/>
        </w:rPr>
        <w:t>自评</w:t>
      </w:r>
      <w:r>
        <w:rPr>
          <w:rFonts w:hint="eastAsia" w:ascii="仿宋" w:hAnsi="仿宋" w:eastAsia="仿宋" w:cs="仿宋"/>
        </w:rPr>
        <w:t>报告</w:t>
      </w:r>
      <w:bookmarkEnd w:id="1"/>
      <w:bookmarkEnd w:id="2"/>
      <w:bookmarkEnd w:id="3"/>
      <w:bookmarkEnd w:id="4"/>
      <w:bookmarkEnd w:id="5"/>
      <w:bookmarkEnd w:id="6"/>
    </w:p>
    <w:p>
      <w:pPr>
        <w:ind w:left="0" w:leftChars="0" w:firstLine="0" w:firstLineChars="0"/>
        <w:rPr>
          <w:rFonts w:hint="eastAsia" w:ascii="仿宋" w:hAnsi="仿宋" w:eastAsia="仿宋" w:cs="仿宋"/>
        </w:rPr>
      </w:pPr>
    </w:p>
    <w:p>
      <w:pPr>
        <w:widowControl/>
        <w:spacing w:before="156" w:after="156" w:line="540" w:lineRule="atLeast"/>
        <w:ind w:firstLine="640"/>
        <w:jc w:val="left"/>
        <w:rPr>
          <w:rFonts w:hint="eastAsia" w:ascii="仿宋" w:hAnsi="仿宋"/>
          <w:szCs w:val="28"/>
        </w:rPr>
      </w:pPr>
      <w:r>
        <w:rPr>
          <w:rFonts w:hint="eastAsia" w:ascii="仿宋" w:hAnsi="仿宋"/>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widowControl/>
        <w:spacing w:before="156" w:after="156" w:line="540" w:lineRule="atLeast"/>
        <w:ind w:firstLine="640"/>
        <w:jc w:val="left"/>
        <w:rPr>
          <w:rFonts w:ascii="仿宋" w:hAnsi="仿宋"/>
          <w:szCs w:val="28"/>
        </w:rPr>
      </w:pPr>
      <w:r>
        <w:rPr>
          <w:rFonts w:hint="eastAsia" w:ascii="仿宋" w:hAnsi="仿宋"/>
          <w:szCs w:val="28"/>
        </w:rPr>
        <w:t>为深入贯彻落实《预算法》文件精神，认真履行全面实施绩效管理的“十九大”精神，强化预算支出责任，提高财政资金使用效益，</w:t>
      </w:r>
      <w:r>
        <w:rPr>
          <w:rFonts w:hint="eastAsia"/>
        </w:rPr>
        <w:t>根据《江西省人民政府关于全面推进预算绩效管理的实施意见》（赣府发[2013]8号）、《南昌市人民政府关于印发&lt;南昌市财政支出绩效评价管理办法&gt;（试行）的通知》（洪府发[2014]8号）、《南昌市财政局关于开展201</w:t>
      </w:r>
      <w:r>
        <w:rPr>
          <w:rFonts w:hint="eastAsia"/>
          <w:lang w:val="en-US" w:eastAsia="zh-CN"/>
        </w:rPr>
        <w:t>9</w:t>
      </w:r>
      <w:r>
        <w:rPr>
          <w:rFonts w:hint="eastAsia"/>
        </w:rPr>
        <w:t>年度市级部门财政项目支出绩效评价工作的通知》（洪财办[20</w:t>
      </w:r>
      <w:r>
        <w:rPr>
          <w:rFonts w:hint="eastAsia"/>
          <w:lang w:val="en-US" w:eastAsia="zh-CN"/>
        </w:rPr>
        <w:t>20</w:t>
      </w:r>
      <w:r>
        <w:rPr>
          <w:rFonts w:hint="eastAsia"/>
        </w:rPr>
        <w:t>]</w:t>
      </w:r>
      <w:r>
        <w:rPr>
          <w:rFonts w:hint="eastAsia"/>
          <w:lang w:val="en-US" w:eastAsia="zh-CN"/>
        </w:rPr>
        <w:t>10</w:t>
      </w:r>
      <w:r>
        <w:rPr>
          <w:rFonts w:hint="eastAsia"/>
        </w:rPr>
        <w:t>号）等文件的要求，对201</w:t>
      </w:r>
      <w:r>
        <w:rPr>
          <w:rFonts w:hint="eastAsia"/>
          <w:lang w:val="en-US" w:eastAsia="zh-CN"/>
        </w:rPr>
        <w:t>9</w:t>
      </w:r>
      <w:r>
        <w:rPr>
          <w:rFonts w:hint="eastAsia"/>
        </w:rPr>
        <w:t>年度中心城区增设不动产登记窗口所需设备购买经费</w:t>
      </w:r>
      <w:r>
        <w:rPr>
          <w:rFonts w:hint="eastAsia"/>
          <w:lang w:eastAsia="zh-CN"/>
        </w:rPr>
        <w:t>项目</w:t>
      </w:r>
      <w:r>
        <w:rPr>
          <w:rFonts w:hint="eastAsia"/>
        </w:rPr>
        <w:t>开展绩效自评工作。</w:t>
      </w:r>
      <w:r>
        <w:rPr>
          <w:rFonts w:hint="eastAsia"/>
          <w:lang w:eastAsia="zh-CN"/>
        </w:rPr>
        <w:t>现将评价情况报告如下：</w:t>
      </w:r>
    </w:p>
    <w:p>
      <w:pPr>
        <w:pStyle w:val="3"/>
        <w:numPr>
          <w:ilvl w:val="0"/>
          <w:numId w:val="0"/>
        </w:numPr>
        <w:spacing w:before="156" w:after="156"/>
      </w:pPr>
      <w:bookmarkStart w:id="7" w:name="_Toc510969567"/>
      <w:r>
        <w:rPr>
          <w:rFonts w:hint="eastAsia"/>
          <w:lang w:eastAsia="zh-CN"/>
        </w:rPr>
        <w:t>一、</w:t>
      </w:r>
      <w:r>
        <w:rPr>
          <w:rFonts w:hint="eastAsia"/>
        </w:rPr>
        <w:t>项目基本情况</w:t>
      </w:r>
      <w:bookmarkEnd w:id="7"/>
    </w:p>
    <w:p>
      <w:pPr>
        <w:pStyle w:val="4"/>
        <w:numPr>
          <w:ilvl w:val="0"/>
          <w:numId w:val="0"/>
        </w:numPr>
        <w:rPr>
          <w:rFonts w:hint="eastAsia"/>
        </w:rPr>
      </w:pPr>
      <w:bookmarkStart w:id="8" w:name="_Toc510969568"/>
      <w:r>
        <w:rPr>
          <w:rFonts w:hint="eastAsia"/>
          <w:lang w:eastAsia="zh-CN"/>
        </w:rPr>
        <w:t>（一）</w:t>
      </w:r>
      <w:r>
        <w:rPr>
          <w:rFonts w:hint="eastAsia"/>
        </w:rPr>
        <w:t>项目概况</w:t>
      </w:r>
      <w:bookmarkEnd w:id="8"/>
    </w:p>
    <w:p>
      <w:pPr>
        <w:numPr>
          <w:ilvl w:val="0"/>
          <w:numId w:val="0"/>
        </w:numPr>
        <w:ind w:firstLine="562" w:firstLineChars="200"/>
        <w:rPr>
          <w:rFonts w:hint="eastAsia" w:cstheme="minorBidi"/>
          <w:b/>
          <w:kern w:val="2"/>
          <w:sz w:val="28"/>
          <w:szCs w:val="22"/>
          <w:lang w:val="en-US" w:eastAsia="zh-CN" w:bidi="ar-SA"/>
        </w:rPr>
      </w:pPr>
      <w:r>
        <w:rPr>
          <w:rFonts w:hint="eastAsia" w:eastAsia="仿宋" w:asciiTheme="minorHAnsi" w:hAnsiTheme="minorHAnsi" w:cstheme="minorBidi"/>
          <w:b/>
          <w:kern w:val="2"/>
          <w:sz w:val="28"/>
          <w:szCs w:val="22"/>
          <w:lang w:val="en-US" w:eastAsia="zh-CN" w:bidi="ar-SA"/>
        </w:rPr>
        <w:t>1、</w:t>
      </w:r>
      <w:r>
        <w:rPr>
          <w:rFonts w:hint="eastAsia" w:cstheme="minorBidi"/>
          <w:b/>
          <w:kern w:val="2"/>
          <w:sz w:val="28"/>
          <w:szCs w:val="22"/>
          <w:lang w:val="en-US" w:eastAsia="zh-CN" w:bidi="ar-SA"/>
        </w:rPr>
        <w:t>立项背景</w:t>
      </w:r>
    </w:p>
    <w:p>
      <w:pPr>
        <w:numPr>
          <w:ilvl w:val="0"/>
          <w:numId w:val="0"/>
        </w:numPr>
        <w:ind w:firstLine="600" w:firstLineChars="200"/>
        <w:rPr>
          <w:rFonts w:hint="eastAsia" w:eastAsia="仿宋" w:cstheme="minorBidi"/>
          <w:b/>
          <w:kern w:val="2"/>
          <w:sz w:val="28"/>
          <w:szCs w:val="22"/>
          <w:lang w:val="en-US" w:eastAsia="zh-CN" w:bidi="ar-SA"/>
        </w:rPr>
      </w:pPr>
      <w:r>
        <w:rPr>
          <w:rFonts w:hint="eastAsia" w:ascii="仿宋" w:hAnsi="仿宋" w:eastAsia="仿宋" w:cs="宋体"/>
          <w:bCs/>
          <w:color w:val="000000" w:themeColor="text1"/>
          <w:kern w:val="0"/>
          <w:sz w:val="30"/>
          <w:szCs w:val="30"/>
          <w14:textFill>
            <w14:solidFill>
              <w14:schemeClr w14:val="tx1"/>
            </w14:solidFill>
          </w14:textFill>
        </w:rPr>
        <w:t>该项目性质为</w:t>
      </w:r>
      <w:r>
        <w:rPr>
          <w:rFonts w:hint="eastAsia" w:ascii="仿宋" w:hAnsi="仿宋" w:cs="宋体"/>
          <w:bCs/>
          <w:color w:val="000000" w:themeColor="text1"/>
          <w:kern w:val="0"/>
          <w:sz w:val="30"/>
          <w:szCs w:val="30"/>
          <w:lang w:eastAsia="zh-CN"/>
          <w14:textFill>
            <w14:solidFill>
              <w14:schemeClr w14:val="tx1"/>
            </w14:solidFill>
          </w14:textFill>
        </w:rPr>
        <w:t>延续</w:t>
      </w:r>
      <w:r>
        <w:rPr>
          <w:rFonts w:hint="eastAsia" w:ascii="仿宋" w:hAnsi="仿宋" w:eastAsia="仿宋" w:cs="宋体"/>
          <w:bCs/>
          <w:color w:val="000000" w:themeColor="text1"/>
          <w:kern w:val="0"/>
          <w:sz w:val="30"/>
          <w:szCs w:val="30"/>
          <w14:textFill>
            <w14:solidFill>
              <w14:schemeClr w14:val="tx1"/>
            </w14:solidFill>
          </w14:textFill>
        </w:rPr>
        <w:t>项目。</w:t>
      </w:r>
      <w:r>
        <w:rPr>
          <w:rFonts w:hint="eastAsia" w:ascii="仿宋" w:hAnsi="仿宋" w:cs="宋体"/>
          <w:bCs/>
          <w:color w:val="000000" w:themeColor="text1"/>
          <w:kern w:val="0"/>
          <w:sz w:val="30"/>
          <w:szCs w:val="30"/>
          <w:lang w:eastAsia="zh-CN"/>
          <w14:textFill>
            <w14:solidFill>
              <w14:schemeClr w14:val="tx1"/>
            </w14:solidFill>
          </w14:textFill>
        </w:rPr>
        <w:t>根据南昌市国土资源局</w:t>
      </w:r>
      <w:r>
        <w:rPr>
          <w:rFonts w:hint="eastAsia"/>
        </w:rPr>
        <w:t>《关于恳请批复&lt;关于在中心城区增设不动产抵押类登记窗口的实施方案&gt;的请示》（洪不动产文[2017]5号）</w:t>
      </w:r>
      <w:r>
        <w:rPr>
          <w:rFonts w:hint="eastAsia"/>
          <w:lang w:eastAsia="zh-CN"/>
        </w:rPr>
        <w:t>、南昌市人民政府办公厅文件《南昌市人民政府</w:t>
      </w:r>
      <w:r>
        <w:rPr>
          <w:rFonts w:hint="eastAsia"/>
        </w:rPr>
        <w:t>办公厅关于印发南昌市政务服务网基层延伸工作建设方案的通知》（洪府厅发[2016]109号）</w:t>
      </w:r>
      <w:r>
        <w:rPr>
          <w:rFonts w:hint="eastAsia"/>
          <w:lang w:eastAsia="zh-CN"/>
        </w:rPr>
        <w:t>、南昌市人民政府办公厅</w:t>
      </w:r>
      <w:r>
        <w:rPr>
          <w:rFonts w:hint="eastAsia"/>
        </w:rPr>
        <w:t>《南昌市人民政府办公厅关于在中心城区增设不动产抵押类登记窗口的实施方案的批复》（洪府厅字[2017]252号）</w:t>
      </w:r>
      <w:r>
        <w:rPr>
          <w:rFonts w:hint="eastAsia"/>
          <w:lang w:eastAsia="zh-CN"/>
        </w:rPr>
        <w:t>文件精神，对</w:t>
      </w:r>
      <w:r>
        <w:rPr>
          <w:rFonts w:hint="eastAsia" w:ascii="仿宋" w:hAnsi="仿宋" w:eastAsia="仿宋" w:cs="仿宋"/>
        </w:rPr>
        <w:t>201</w:t>
      </w:r>
      <w:r>
        <w:rPr>
          <w:rFonts w:hint="eastAsia" w:ascii="仿宋" w:hAnsi="仿宋" w:cs="仿宋"/>
          <w:lang w:val="en-US" w:eastAsia="zh-CN"/>
        </w:rPr>
        <w:t>9</w:t>
      </w:r>
      <w:r>
        <w:rPr>
          <w:rFonts w:hint="eastAsia" w:ascii="仿宋" w:hAnsi="仿宋" w:eastAsia="仿宋" w:cs="仿宋"/>
        </w:rPr>
        <w:t>年度中心城区增设不动产登记窗口所需设备购买经费项目</w:t>
      </w:r>
      <w:r>
        <w:rPr>
          <w:rFonts w:hint="eastAsia"/>
          <w:lang w:eastAsia="zh-CN"/>
        </w:rPr>
        <w:t>均应按规定纳入政府集中采购，所需经费在财政预算安排的</w:t>
      </w:r>
      <w:r>
        <w:rPr>
          <w:rFonts w:hint="eastAsia"/>
          <w:lang w:val="en-US" w:eastAsia="zh-CN"/>
        </w:rPr>
        <w:t>自然资源</w:t>
      </w:r>
      <w:r>
        <w:rPr>
          <w:rFonts w:hint="eastAsia"/>
          <w:lang w:eastAsia="zh-CN"/>
        </w:rPr>
        <w:t>专项资金中列支。</w:t>
      </w:r>
    </w:p>
    <w:p>
      <w:pPr>
        <w:pStyle w:val="4"/>
        <w:numPr>
          <w:ilvl w:val="0"/>
          <w:numId w:val="1"/>
        </w:numPr>
        <w:ind w:firstLine="562" w:firstLineChars="200"/>
        <w:rPr>
          <w:rFonts w:hint="eastAsia"/>
          <w:lang w:eastAsia="zh-CN"/>
        </w:rPr>
      </w:pPr>
      <w:r>
        <w:rPr>
          <w:rFonts w:hint="eastAsia"/>
          <w:lang w:eastAsia="zh-CN"/>
        </w:rPr>
        <w:t>立项目的</w:t>
      </w:r>
    </w:p>
    <w:p>
      <w:pPr>
        <w:ind w:firstLine="560" w:firstLineChars="200"/>
        <w:rPr>
          <w:rFonts w:hint="eastAsia" w:ascii="仿宋" w:hAnsi="仿宋" w:eastAsia="仿宋_GB2312" w:cs="宋体"/>
          <w:bCs/>
          <w:color w:val="000000" w:themeColor="text1"/>
          <w:kern w:val="0"/>
          <w:sz w:val="30"/>
          <w:szCs w:val="30"/>
          <w:lang w:eastAsia="zh-CN"/>
          <w14:textFill>
            <w14:solidFill>
              <w14:schemeClr w14:val="tx1"/>
            </w14:solidFill>
          </w14:textFill>
        </w:rPr>
      </w:pPr>
      <w:r>
        <w:rPr>
          <w:rFonts w:hint="eastAsia"/>
        </w:rPr>
        <w:t>通过采购</w:t>
      </w:r>
      <w:r>
        <w:rPr>
          <w:rFonts w:hint="eastAsia"/>
          <w:lang w:eastAsia="zh-CN"/>
        </w:rPr>
        <w:t>光纤</w:t>
      </w:r>
      <w:r>
        <w:rPr>
          <w:rFonts w:hint="eastAsia"/>
        </w:rPr>
        <w:t>网络专线、监控</w:t>
      </w:r>
      <w:r>
        <w:rPr>
          <w:rFonts w:hint="eastAsia"/>
          <w:lang w:eastAsia="zh-CN"/>
        </w:rPr>
        <w:t>设备</w:t>
      </w:r>
      <w:r>
        <w:rPr>
          <w:rFonts w:hint="eastAsia"/>
        </w:rPr>
        <w:t>，</w:t>
      </w:r>
      <w:r>
        <w:rPr>
          <w:rFonts w:hint="eastAsia"/>
          <w:lang w:eastAsia="zh-CN"/>
        </w:rPr>
        <w:t>为</w:t>
      </w:r>
      <w:r>
        <w:rPr>
          <w:rFonts w:hint="eastAsia"/>
        </w:rPr>
        <w:t>不动产登记窗口</w:t>
      </w:r>
      <w:r>
        <w:rPr>
          <w:rFonts w:hint="eastAsia" w:ascii="仿宋" w:hAnsi="仿宋"/>
          <w:szCs w:val="28"/>
        </w:rPr>
        <w:t>提供</w:t>
      </w:r>
      <w:r>
        <w:rPr>
          <w:rFonts w:hint="eastAsia" w:ascii="仿宋" w:hAnsi="仿宋"/>
          <w:szCs w:val="28"/>
          <w:lang w:eastAsia="zh-CN"/>
        </w:rPr>
        <w:t>了</w:t>
      </w:r>
      <w:r>
        <w:rPr>
          <w:rFonts w:hint="eastAsia" w:ascii="仿宋" w:hAnsi="仿宋"/>
          <w:szCs w:val="28"/>
        </w:rPr>
        <w:t>强有力的设备和信息技术保障，</w:t>
      </w:r>
      <w:r>
        <w:rPr>
          <w:rFonts w:hint="eastAsia" w:ascii="仿宋" w:hAnsi="仿宋"/>
          <w:szCs w:val="28"/>
          <w:lang w:eastAsia="zh-CN"/>
        </w:rPr>
        <w:t>进一步</w:t>
      </w:r>
      <w:r>
        <w:rPr>
          <w:rFonts w:hint="eastAsia"/>
        </w:rPr>
        <w:t>提高不动产登记窗口的业务办理</w:t>
      </w:r>
      <w:r>
        <w:rPr>
          <w:rFonts w:hint="eastAsia"/>
          <w:lang w:eastAsia="zh-CN"/>
        </w:rPr>
        <w:t>水平</w:t>
      </w:r>
      <w:r>
        <w:rPr>
          <w:rFonts w:hint="eastAsia"/>
        </w:rPr>
        <w:t>，使得群众在不动产登记</w:t>
      </w:r>
      <w:r>
        <w:rPr>
          <w:rFonts w:hint="eastAsia"/>
          <w:lang w:val="en-US" w:eastAsia="zh-CN"/>
        </w:rPr>
        <w:t>业务办理</w:t>
      </w:r>
      <w:r>
        <w:rPr>
          <w:rFonts w:hint="eastAsia"/>
        </w:rPr>
        <w:t>中享受到更</w:t>
      </w:r>
      <w:r>
        <w:rPr>
          <w:rFonts w:hint="eastAsia"/>
          <w:lang w:eastAsia="zh-CN"/>
        </w:rPr>
        <w:t>为</w:t>
      </w:r>
      <w:r>
        <w:rPr>
          <w:rFonts w:hint="eastAsia"/>
        </w:rPr>
        <w:t>便捷、高效的服务。</w:t>
      </w:r>
    </w:p>
    <w:p>
      <w:pPr>
        <w:pStyle w:val="4"/>
        <w:numPr>
          <w:ilvl w:val="0"/>
          <w:numId w:val="1"/>
        </w:numPr>
        <w:ind w:left="0" w:leftChars="0" w:firstLine="562" w:firstLineChars="200"/>
        <w:rPr>
          <w:rFonts w:hint="eastAsia"/>
          <w:lang w:val="en-US" w:eastAsia="zh-CN"/>
        </w:rPr>
      </w:pPr>
      <w:r>
        <w:rPr>
          <w:rFonts w:hint="eastAsia"/>
          <w:lang w:val="en-US" w:eastAsia="zh-CN"/>
        </w:rPr>
        <w:t>项目内容、执行标准和实施期限</w:t>
      </w:r>
    </w:p>
    <w:p>
      <w:pPr>
        <w:keepNext w:val="0"/>
        <w:keepLines w:val="0"/>
        <w:pageBreakBefore w:val="0"/>
        <w:widowControl w:val="0"/>
        <w:numPr>
          <w:ilvl w:val="0"/>
          <w:numId w:val="2"/>
        </w:numPr>
        <w:kinsoku/>
        <w:wordWrap/>
        <w:overflowPunct/>
        <w:topLinePunct w:val="0"/>
        <w:autoSpaceDE/>
        <w:autoSpaceDN/>
        <w:bidi w:val="0"/>
        <w:adjustRightInd/>
        <w:snapToGrid/>
        <w:ind w:leftChars="0" w:firstLine="560" w:firstLineChars="200"/>
        <w:textAlignment w:val="auto"/>
        <w:rPr>
          <w:rFonts w:hint="eastAsia"/>
          <w:lang w:val="en-US" w:eastAsia="zh-CN"/>
        </w:rPr>
      </w:pPr>
      <w:r>
        <w:rPr>
          <w:rFonts w:hint="eastAsia"/>
          <w:lang w:val="en-US" w:eastAsia="zh-CN"/>
        </w:rPr>
        <w:t>项目内容</w:t>
      </w:r>
    </w:p>
    <w:p>
      <w:pPr>
        <w:numPr>
          <w:ilvl w:val="0"/>
          <w:numId w:val="0"/>
        </w:numPr>
        <w:ind w:firstLine="560" w:firstLineChars="200"/>
        <w:rPr>
          <w:rFonts w:hint="eastAsia" w:eastAsia="仿宋"/>
          <w:lang w:val="en-US" w:eastAsia="zh-CN"/>
        </w:rPr>
      </w:pPr>
      <w:r>
        <w:rPr>
          <w:rFonts w:hint="eastAsia"/>
          <w:lang w:val="en-US" w:eastAsia="zh-CN"/>
        </w:rPr>
        <w:t>根据《</w:t>
      </w:r>
      <w:r>
        <w:rPr>
          <w:rFonts w:hint="eastAsia"/>
        </w:rPr>
        <w:t>关于在中心城区增设不动产抵押类登记窗口的实施方案</w:t>
      </w:r>
      <w:r>
        <w:rPr>
          <w:rFonts w:hint="eastAsia"/>
          <w:lang w:eastAsia="zh-CN"/>
        </w:rPr>
        <w:t>》要求，通过</w:t>
      </w:r>
      <w:r>
        <w:rPr>
          <w:rFonts w:hint="eastAsia"/>
          <w:lang w:val="en-US" w:eastAsia="zh-CN"/>
        </w:rPr>
        <w:t>政府采购平台，为东湖区、西湖区、青云谱区、青山湖区四个城区行政服务中心增设的不动产登记窗口购买光纤网络专线、监控设施硬盘。</w:t>
      </w:r>
    </w:p>
    <w:p>
      <w:pPr>
        <w:keepNext w:val="0"/>
        <w:keepLines w:val="0"/>
        <w:pageBreakBefore w:val="0"/>
        <w:widowControl w:val="0"/>
        <w:numPr>
          <w:ilvl w:val="0"/>
          <w:numId w:val="2"/>
        </w:numPr>
        <w:kinsoku/>
        <w:wordWrap/>
        <w:overflowPunct/>
        <w:topLinePunct w:val="0"/>
        <w:autoSpaceDE/>
        <w:autoSpaceDN/>
        <w:bidi w:val="0"/>
        <w:adjustRightInd/>
        <w:snapToGrid/>
        <w:ind w:leftChars="0" w:firstLine="560" w:firstLineChars="200"/>
        <w:textAlignment w:val="auto"/>
        <w:rPr>
          <w:rFonts w:hint="default"/>
          <w:lang w:val="en-US" w:eastAsia="zh-CN"/>
        </w:rPr>
      </w:pPr>
      <w:r>
        <w:rPr>
          <w:rFonts w:hint="eastAsia"/>
          <w:lang w:val="en-US" w:eastAsia="zh-CN"/>
        </w:rPr>
        <w:t>执行标准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lang w:eastAsia="zh-CN"/>
        </w:rPr>
      </w:pPr>
      <w:r>
        <w:rPr>
          <w:rFonts w:hint="eastAsia"/>
          <w:lang w:val="en-US" w:eastAsia="zh-CN"/>
        </w:rPr>
        <w:t>根据《</w:t>
      </w:r>
      <w:r>
        <w:rPr>
          <w:rFonts w:hint="eastAsia"/>
        </w:rPr>
        <w:t>关于在中心城区增设不动产抵押类登记窗口的实施方案</w:t>
      </w:r>
      <w:r>
        <w:rPr>
          <w:rFonts w:hint="eastAsia"/>
          <w:lang w:eastAsia="zh-CN"/>
        </w:rPr>
        <w:t>》文件的规定，执行标准如下：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lang w:val="en-US" w:eastAsia="zh-CN"/>
        </w:rPr>
      </w:pPr>
      <w:r>
        <w:rPr>
          <w:rFonts w:hint="eastAsia"/>
          <w:lang w:eastAsia="zh-CN"/>
        </w:rPr>
        <w:t>网点光纤网络专线：</w:t>
      </w:r>
      <w:r>
        <w:rPr>
          <w:rFonts w:hint="eastAsia"/>
          <w:lang w:val="en-US" w:eastAsia="zh-CN"/>
        </w:rPr>
        <w:t>1600元/月/点，费用预计1600元/月/点*4个点*12个月=7.68万元/年；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lang w:val="en-US" w:eastAsia="zh-CN"/>
        </w:rPr>
      </w:pPr>
      <w:r>
        <w:rPr>
          <w:rFonts w:hint="eastAsia"/>
          <w:lang w:val="en-US" w:eastAsia="zh-CN"/>
        </w:rPr>
        <w:t>监控设备：自2018年起，每年购置监控设备硬盘费用控制在8.4万元以内。</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0" w:firstLineChars="200"/>
        <w:textAlignment w:val="auto"/>
        <w:rPr>
          <w:rFonts w:hint="eastAsia"/>
          <w:lang w:val="en-US" w:eastAsia="zh-CN"/>
        </w:rPr>
      </w:pPr>
      <w:r>
        <w:rPr>
          <w:rFonts w:hint="eastAsia"/>
          <w:lang w:val="en-US" w:eastAsia="zh-CN"/>
        </w:rPr>
        <w:t>实施期限</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lang w:val="en-US" w:eastAsia="zh-CN"/>
        </w:rPr>
      </w:pPr>
      <w:r>
        <w:rPr>
          <w:rFonts w:hint="eastAsia"/>
          <w:lang w:val="en-US" w:eastAsia="zh-CN"/>
        </w:rPr>
        <w:t>项目计划完成期限：2019年8月--2019年11月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lang w:val="en-US" w:eastAsia="zh-CN"/>
        </w:rPr>
      </w:pPr>
      <w:r>
        <w:rPr>
          <w:rFonts w:hint="eastAsia"/>
          <w:lang w:val="en-US" w:eastAsia="zh-CN"/>
        </w:rPr>
        <w:t>项目实际完成期限：2019年8月--2019年11月</w:t>
      </w:r>
    </w:p>
    <w:p>
      <w:pPr>
        <w:pStyle w:val="4"/>
        <w:numPr>
          <w:ilvl w:val="0"/>
          <w:numId w:val="1"/>
        </w:numPr>
        <w:ind w:left="0" w:leftChars="0" w:firstLine="562" w:firstLineChars="200"/>
        <w:rPr>
          <w:rFonts w:hint="eastAsia"/>
          <w:lang w:val="en-US" w:eastAsia="zh-CN"/>
        </w:rPr>
      </w:pPr>
      <w:r>
        <w:rPr>
          <w:rFonts w:hint="eastAsia"/>
          <w:lang w:val="en-US" w:eastAsia="zh-CN"/>
        </w:rPr>
        <w:t>资金使用情况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lang w:val="en-US" w:eastAsia="zh-CN"/>
        </w:rPr>
      </w:pPr>
      <w:r>
        <w:rPr>
          <w:rFonts w:hint="eastAsia"/>
          <w:lang w:val="en-US" w:eastAsia="zh-CN"/>
        </w:rPr>
        <w:t>本项目2019年预算安排为13.4812万元（资金来源于财政拨款），实际到位13.4812万元，实际支出13.4812万元，其中监控硬盘费用5.8612万元、网络光纤费用7.62万元，结余金额0万元。</w:t>
      </w:r>
    </w:p>
    <w:p>
      <w:pPr>
        <w:pStyle w:val="4"/>
        <w:numPr>
          <w:ilvl w:val="0"/>
          <w:numId w:val="1"/>
        </w:numPr>
        <w:ind w:left="0" w:leftChars="0" w:firstLine="562" w:firstLineChars="200"/>
        <w:rPr>
          <w:rFonts w:hint="eastAsia"/>
          <w:lang w:val="en-US" w:eastAsia="zh-CN"/>
        </w:rPr>
      </w:pPr>
      <w:r>
        <w:rPr>
          <w:rFonts w:hint="eastAsia"/>
          <w:lang w:val="en-US" w:eastAsia="zh-CN"/>
        </w:rPr>
        <w:t>项目组织管理情况</w:t>
      </w:r>
    </w:p>
    <w:p>
      <w:pPr>
        <w:keepNext w:val="0"/>
        <w:keepLines w:val="0"/>
        <w:pageBreakBefore w:val="0"/>
        <w:numPr>
          <w:ilvl w:val="0"/>
          <w:numId w:val="3"/>
        </w:numPr>
        <w:kinsoku/>
        <w:wordWrap/>
        <w:overflowPunct/>
        <w:topLinePunct w:val="0"/>
        <w:autoSpaceDE/>
        <w:autoSpaceDN/>
        <w:bidi w:val="0"/>
        <w:adjustRightInd/>
        <w:snapToGrid/>
        <w:ind w:leftChars="0"/>
        <w:textAlignment w:val="auto"/>
        <w:rPr>
          <w:rFonts w:hint="eastAsia"/>
          <w:lang w:val="en-US" w:eastAsia="zh-CN"/>
        </w:rPr>
      </w:pPr>
      <w:r>
        <w:rPr>
          <w:rFonts w:hint="eastAsia"/>
          <w:lang w:val="en-US" w:eastAsia="zh-CN"/>
        </w:rPr>
        <w:t>管理机构建立情况：成立临时采购小组执行设备采购，信息技术科负责项目具体业务；</w:t>
      </w:r>
    </w:p>
    <w:p>
      <w:pPr>
        <w:keepNext w:val="0"/>
        <w:keepLines w:val="0"/>
        <w:pageBreakBefore w:val="0"/>
        <w:widowControl/>
        <w:numPr>
          <w:ilvl w:val="0"/>
          <w:numId w:val="3"/>
        </w:numPr>
        <w:suppressLineNumbers w:val="0"/>
        <w:kinsoku/>
        <w:wordWrap/>
        <w:overflowPunct/>
        <w:topLinePunct w:val="0"/>
        <w:autoSpaceDE/>
        <w:autoSpaceDN/>
        <w:bidi w:val="0"/>
        <w:adjustRightInd/>
        <w:snapToGrid/>
        <w:ind w:left="0" w:leftChars="0" w:firstLine="560" w:firstLineChars="200"/>
        <w:jc w:val="left"/>
        <w:textAlignment w:val="auto"/>
        <w:rPr>
          <w:rFonts w:hint="eastAsia"/>
          <w:lang w:val="en-US" w:eastAsia="zh-CN"/>
        </w:rPr>
      </w:pPr>
      <w:r>
        <w:rPr>
          <w:rFonts w:hint="eastAsia"/>
          <w:lang w:val="en-US" w:eastAsia="zh-CN"/>
        </w:rPr>
        <w:t>内部控制建立情况:单位制定了《档案信息中心经费开支管理规定》、《档案信息中心资产管理制度》、《档案信息中心政府采购暂行管理制度》等相应规章制度;</w:t>
      </w:r>
      <w:r>
        <w:rPr>
          <w:rFonts w:hint="eastAsia"/>
          <w:lang w:val="en-US" w:eastAsia="zh-CN"/>
        </w:rPr>
        <w:br w:type="textWrapping"/>
      </w:r>
      <w:r>
        <w:rPr>
          <w:rFonts w:hint="eastAsia"/>
          <w:lang w:val="en-US" w:eastAsia="zh-CN"/>
        </w:rPr>
        <w:t xml:space="preserve">    （3）历次审计(检查/稽查) 存在的问题及整改情况:无。</w:t>
      </w:r>
    </w:p>
    <w:p>
      <w:pPr>
        <w:keepNext w:val="0"/>
        <w:keepLines w:val="0"/>
        <w:pageBreakBefore w:val="0"/>
        <w:widowControl/>
        <w:numPr>
          <w:ilvl w:val="0"/>
          <w:numId w:val="4"/>
        </w:numPr>
        <w:suppressLineNumbers w:val="0"/>
        <w:kinsoku/>
        <w:wordWrap/>
        <w:overflowPunct/>
        <w:topLinePunct w:val="0"/>
        <w:autoSpaceDE/>
        <w:autoSpaceDN/>
        <w:bidi w:val="0"/>
        <w:adjustRightInd/>
        <w:snapToGrid/>
        <w:ind w:left="0" w:hanging="562" w:hangingChars="200"/>
        <w:jc w:val="left"/>
        <w:textAlignment w:val="auto"/>
        <w:rPr>
          <w:rFonts w:hint="eastAsia" w:ascii="仿宋" w:hAnsi="仿宋" w:eastAsia="仿宋" w:cs="仿宋"/>
          <w:b/>
          <w:bCs/>
          <w:lang w:val="en-US" w:eastAsia="zh-CN"/>
        </w:rPr>
      </w:pPr>
      <w:r>
        <w:rPr>
          <w:rFonts w:hint="eastAsia" w:ascii="仿宋" w:hAnsi="仿宋" w:eastAsia="仿宋" w:cs="仿宋"/>
          <w:b/>
          <w:kern w:val="2"/>
          <w:sz w:val="28"/>
          <w:szCs w:val="22"/>
          <w:lang w:val="en-US" w:eastAsia="zh-CN" w:bidi="ar-SA"/>
        </w:rPr>
        <w:t>项目绩效目标</w:t>
      </w:r>
      <w:r>
        <w:rPr>
          <w:rFonts w:ascii="宋体" w:hAnsi="宋体" w:eastAsia="宋体" w:cs="宋体"/>
          <w:kern w:val="0"/>
          <w:sz w:val="24"/>
          <w:szCs w:val="24"/>
          <w:lang w:val="en-US" w:eastAsia="zh-CN" w:bidi="ar"/>
        </w:rPr>
        <w:br w:type="textWrapping"/>
      </w:r>
      <w:r>
        <w:rPr>
          <w:rFonts w:hint="eastAsia" w:ascii="仿宋" w:hAnsi="仿宋" w:eastAsia="仿宋" w:cs="仿宋"/>
          <w:b/>
          <w:bCs/>
          <w:lang w:val="en-US" w:eastAsia="zh-CN"/>
        </w:rPr>
        <w:t>1、项目绩效总目标</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lang w:val="en-US" w:eastAsia="zh-CN"/>
        </w:rPr>
      </w:pPr>
      <w:r>
        <w:rPr>
          <w:rFonts w:hint="eastAsia"/>
          <w:lang w:val="en-US" w:eastAsia="zh-CN"/>
        </w:rPr>
        <w:t>基层政务服务项目建设是加快行政体制改革、建设服务型政府、保障和改善民生的重要措施，也是政府职能转变、强化政府信息公开和政务服务职能的总要任务，对解决好联系服务群众“最后一公里”问题有重大意义。中心城区增设不动产登记窗口所需设备购买经费的支出，主要目的是为增设不动产登记窗口提供设备和信息技术保障，解决广大群众在不动产抵押登记中的“最后一公里”问题。</w:t>
      </w:r>
      <w:r>
        <w:rPr>
          <w:rFonts w:hint="eastAsia"/>
          <w:lang w:val="en-US" w:eastAsia="zh-CN"/>
        </w:rPr>
        <w:br w:type="textWrapping"/>
      </w:r>
      <w:r>
        <w:rPr>
          <w:rFonts w:hint="eastAsia"/>
          <w:lang w:val="en-US" w:eastAsia="zh-CN"/>
        </w:rPr>
        <w:t xml:space="preserve">    </w:t>
      </w:r>
      <w:r>
        <w:rPr>
          <w:rFonts w:hint="eastAsia" w:ascii="仿宋" w:hAnsi="仿宋" w:eastAsia="仿宋" w:cs="仿宋"/>
          <w:b/>
          <w:bCs/>
          <w:lang w:val="en-US" w:eastAsia="zh-CN"/>
        </w:rPr>
        <w:t>2、项目年度绩效目标</w:t>
      </w:r>
      <w:r>
        <w:rPr>
          <w:rFonts w:hint="eastAsia"/>
          <w:lang w:val="en-US" w:eastAsia="zh-CN"/>
        </w:rPr>
        <w:br w:type="textWrapping"/>
      </w:r>
      <w:r>
        <w:rPr>
          <w:rFonts w:hint="eastAsia"/>
          <w:lang w:val="en-US" w:eastAsia="zh-CN"/>
        </w:rPr>
        <w:t xml:space="preserve">   </w:t>
      </w:r>
      <w:r>
        <w:rPr>
          <w:rFonts w:hint="eastAsia" w:ascii="仿宋" w:hAnsi="仿宋" w:eastAsia="仿宋" w:cs="仿宋"/>
          <w:lang w:val="en-US" w:eastAsia="zh-CN"/>
        </w:rPr>
        <w:t>(1)</w:t>
      </w:r>
      <w:r>
        <w:rPr>
          <w:rFonts w:hint="eastAsia"/>
          <w:lang w:val="en-US" w:eastAsia="zh-CN"/>
        </w:rPr>
        <w:t>增设不动产登记窗口有效缓解我市不动产抵押登记业务受理量大的难题，群众业务办理等待时间与在市级登记窗口相比明显减少;</w:t>
      </w:r>
      <w:r>
        <w:rPr>
          <w:rFonts w:hint="eastAsia"/>
          <w:lang w:val="en-US" w:eastAsia="zh-CN"/>
        </w:rPr>
        <w:br w:type="textWrapping"/>
      </w:r>
      <w:r>
        <w:rPr>
          <w:rFonts w:hint="eastAsia"/>
          <w:lang w:val="en-US" w:eastAsia="zh-CN"/>
        </w:rPr>
        <w:t xml:space="preserve">   </w:t>
      </w:r>
      <w:r>
        <w:rPr>
          <w:rFonts w:hint="eastAsia" w:ascii="仿宋" w:hAnsi="仿宋" w:eastAsia="仿宋" w:cs="仿宋"/>
          <w:lang w:val="en-US" w:eastAsia="zh-CN"/>
        </w:rPr>
        <w:t>(2) </w:t>
      </w:r>
      <w:r>
        <w:rPr>
          <w:rFonts w:hint="eastAsia"/>
          <w:lang w:val="en-US" w:eastAsia="zh-CN"/>
        </w:rPr>
        <w:t>不动产登记窗口业务办理效率得到有效提高，不动产抵押类业务均在承诺办结时限3个工作日内完成;</w:t>
      </w:r>
      <w:r>
        <w:rPr>
          <w:rFonts w:hint="eastAsia"/>
          <w:lang w:val="en-US" w:eastAsia="zh-CN"/>
        </w:rPr>
        <w:br w:type="textWrapping"/>
      </w:r>
      <w:r>
        <w:rPr>
          <w:rFonts w:hint="eastAsia"/>
          <w:lang w:val="en-US" w:eastAsia="zh-CN"/>
        </w:rPr>
        <w:t xml:space="preserve">   </w:t>
      </w:r>
      <w:r>
        <w:rPr>
          <w:rFonts w:hint="eastAsia" w:ascii="仿宋" w:hAnsi="仿宋" w:eastAsia="仿宋" w:cs="仿宋"/>
          <w:lang w:val="en-US" w:eastAsia="zh-CN"/>
        </w:rPr>
        <w:t>(3)</w:t>
      </w:r>
      <w:r>
        <w:rPr>
          <w:rFonts w:hint="eastAsia"/>
          <w:lang w:val="en-US" w:eastAsia="zh-CN"/>
        </w:rPr>
        <w:t>采购的光纤网络专线、监控设施硬盘等运行状况良好，无过度损耗情况。</w:t>
      </w:r>
      <w:r>
        <w:rPr>
          <w:rFonts w:hint="eastAsia"/>
          <w:lang w:val="en-US" w:eastAsia="zh-CN"/>
        </w:rPr>
        <w:br w:type="textWrapping"/>
      </w:r>
      <w:r>
        <w:rPr>
          <w:rFonts w:hint="eastAsia"/>
          <w:lang w:val="en-US" w:eastAsia="zh-CN"/>
        </w:rPr>
        <w:t xml:space="preserve">   </w:t>
      </w:r>
      <w:r>
        <w:rPr>
          <w:rFonts w:hint="eastAsia" w:ascii="仿宋" w:hAnsi="仿宋" w:eastAsia="仿宋" w:cs="仿宋"/>
          <w:b/>
          <w:bCs/>
          <w:lang w:val="en-US" w:eastAsia="zh-CN"/>
        </w:rPr>
        <w:t xml:space="preserve">3、项目预期目标完成情况 </w:t>
      </w:r>
    </w:p>
    <w:p>
      <w:pPr>
        <w:keepNext w:val="0"/>
        <w:keepLines w:val="0"/>
        <w:widowControl/>
        <w:suppressLineNumbers w:val="0"/>
        <w:jc w:val="left"/>
        <w:rPr>
          <w:rFonts w:hint="eastAsia" w:ascii="仿宋" w:hAnsi="仿宋" w:eastAsia="仿宋" w:cs="仿宋"/>
          <w:lang w:val="en-US" w:eastAsia="zh-CN"/>
        </w:rPr>
      </w:pPr>
      <w:r>
        <w:rPr>
          <w:rFonts w:hint="eastAsia" w:ascii="仿宋" w:hAnsi="仿宋" w:eastAsia="仿宋" w:cs="仿宋"/>
          <w:lang w:val="en-US" w:eastAsia="zh-CN"/>
        </w:rPr>
        <w:t>(1)增设不动产登记窗口快捷有效缓解我市不动产抵押登记业务受理量过大的难题，办事群众普遍反映业务办理等待时间与在市级登记窗口相比明显减少;</w:t>
      </w:r>
      <w:r>
        <w:rPr>
          <w:rFonts w:hint="eastAsia" w:ascii="仿宋" w:hAnsi="仿宋" w:eastAsia="仿宋" w:cs="仿宋"/>
          <w:lang w:val="en-US" w:eastAsia="zh-CN"/>
        </w:rPr>
        <w:br w:type="textWrapping"/>
      </w:r>
      <w:r>
        <w:rPr>
          <w:rFonts w:hint="eastAsia" w:ascii="仿宋" w:hAnsi="仿宋" w:cs="仿宋"/>
          <w:lang w:val="en-US" w:eastAsia="zh-CN"/>
        </w:rPr>
        <w:t xml:space="preserve">    </w:t>
      </w:r>
      <w:r>
        <w:rPr>
          <w:rFonts w:hint="eastAsia" w:ascii="仿宋" w:hAnsi="仿宋" w:eastAsia="仿宋" w:cs="仿宋"/>
          <w:lang w:val="en-US" w:eastAsia="zh-CN"/>
        </w:rPr>
        <w:t>(2) 不动产登记窗口业务办理效率得到了有效提高，不存在不动产抵押类业务超承诺时限办结的情况;</w:t>
      </w:r>
      <w:r>
        <w:rPr>
          <w:rFonts w:hint="eastAsia" w:ascii="仿宋" w:hAnsi="仿宋" w:eastAsia="仿宋" w:cs="仿宋"/>
          <w:lang w:val="en-US" w:eastAsia="zh-CN"/>
        </w:rPr>
        <w:br w:type="textWrapping"/>
      </w:r>
      <w:r>
        <w:rPr>
          <w:rFonts w:hint="eastAsia" w:ascii="仿宋" w:hAnsi="仿宋" w:cs="仿宋"/>
          <w:lang w:val="en-US" w:eastAsia="zh-CN"/>
        </w:rPr>
        <w:t xml:space="preserve">    </w:t>
      </w:r>
      <w:r>
        <w:rPr>
          <w:rFonts w:hint="eastAsia" w:ascii="仿宋" w:hAnsi="仿宋" w:eastAsia="仿宋" w:cs="仿宋"/>
          <w:lang w:val="en-US" w:eastAsia="zh-CN"/>
        </w:rPr>
        <w:t>(3)新增的不动产登记窗口光纤网络专线、设施硬盘等运行状况基本良好，无过度损耗现象;资金使用进度正常合理，不存在结余情况。</w:t>
      </w:r>
      <w:r>
        <w:rPr>
          <w:rFonts w:ascii="宋体" w:hAnsi="宋体" w:eastAsia="宋体" w:cs="宋体"/>
          <w:kern w:val="0"/>
          <w:sz w:val="24"/>
          <w:szCs w:val="24"/>
          <w:lang w:val="en-US" w:eastAsia="zh-CN" w:bidi="ar"/>
        </w:rPr>
        <w:br w:type="textWrapping"/>
      </w:r>
      <w:r>
        <w:rPr>
          <w:rFonts w:hint="eastAsia" w:ascii="仿宋" w:hAnsi="仿宋" w:eastAsia="仿宋" w:cs="仿宋"/>
          <w:b/>
          <w:bCs/>
          <w:kern w:val="0"/>
          <w:sz w:val="32"/>
          <w:szCs w:val="32"/>
          <w:lang w:val="en-US" w:eastAsia="zh-CN" w:bidi="ar"/>
        </w:rPr>
        <w:t>二、绩效评价工作情况</w:t>
      </w:r>
      <w:r>
        <w:rPr>
          <w:rFonts w:ascii="宋体" w:hAnsi="宋体" w:eastAsia="宋体" w:cs="宋体"/>
          <w:kern w:val="0"/>
          <w:sz w:val="24"/>
          <w:szCs w:val="24"/>
          <w:lang w:val="en-US" w:eastAsia="zh-CN" w:bidi="ar"/>
        </w:rPr>
        <w:br w:type="textWrapping"/>
      </w:r>
      <w:r>
        <w:rPr>
          <w:rFonts w:hint="eastAsia" w:ascii="仿宋" w:hAnsi="仿宋" w:eastAsia="仿宋" w:cs="仿宋"/>
          <w:b/>
          <w:bCs/>
          <w:kern w:val="0"/>
          <w:sz w:val="28"/>
          <w:szCs w:val="28"/>
          <w:lang w:val="en-US" w:eastAsia="zh-CN" w:bidi="ar"/>
        </w:rPr>
        <w:t>(一)绩效评价目的</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 w:hAnsi="仿宋" w:eastAsia="仿宋" w:cs="仿宋"/>
          <w:lang w:val="en-US" w:eastAsia="zh-CN"/>
        </w:rPr>
        <w:t>为深化预算管理改革，进一步加强项目支出的监督，提高财政资金使用效益，根据《中华人民共和国预算法》、《财政支出绩效评价管理暂行办法》和国家有关财务规章制度，结合项目经费支出的具体情况，根据南昌市财政局洪财办[20</w:t>
      </w:r>
      <w:r>
        <w:rPr>
          <w:rFonts w:hint="eastAsia" w:ascii="仿宋" w:hAnsi="仿宋" w:cs="仿宋"/>
          <w:lang w:val="en-US" w:eastAsia="zh-CN"/>
        </w:rPr>
        <w:t>20</w:t>
      </w:r>
      <w:r>
        <w:rPr>
          <w:rFonts w:hint="eastAsia" w:ascii="仿宋" w:hAnsi="仿宋" w:eastAsia="仿宋" w:cs="仿宋"/>
          <w:lang w:val="en-US" w:eastAsia="zh-CN"/>
        </w:rPr>
        <w:t>]</w:t>
      </w:r>
      <w:r>
        <w:rPr>
          <w:rFonts w:hint="eastAsia" w:ascii="仿宋" w:hAnsi="仿宋" w:cs="仿宋"/>
          <w:lang w:val="en-US" w:eastAsia="zh-CN"/>
        </w:rPr>
        <w:t>10</w:t>
      </w:r>
      <w:r>
        <w:rPr>
          <w:rFonts w:hint="eastAsia" w:ascii="仿宋" w:hAnsi="仿宋" w:eastAsia="仿宋" w:cs="仿宋"/>
          <w:lang w:val="en-US" w:eastAsia="zh-CN"/>
        </w:rPr>
        <w:t>号文件精神进行项目支出绩效自评工作;此外，本次绩效自评工作还力争实现以下目的:</w:t>
      </w:r>
      <w:r>
        <w:rPr>
          <w:rFonts w:hint="eastAsia" w:ascii="仿宋" w:hAnsi="仿宋" w:eastAsia="仿宋" w:cs="仿宋"/>
          <w:lang w:val="en-US" w:eastAsia="zh-CN"/>
        </w:rPr>
        <w:br w:type="textWrapping"/>
      </w:r>
      <w:r>
        <w:rPr>
          <w:rFonts w:hint="eastAsia" w:ascii="仿宋" w:hAnsi="仿宋" w:cs="仿宋"/>
          <w:lang w:val="en-US" w:eastAsia="zh-CN"/>
        </w:rPr>
        <w:t xml:space="preserve">    </w:t>
      </w:r>
      <w:r>
        <w:rPr>
          <w:rFonts w:hint="eastAsia" w:ascii="仿宋" w:hAnsi="仿宋" w:eastAsia="仿宋" w:cs="仿宋"/>
          <w:lang w:val="en-US" w:eastAsia="zh-CN"/>
        </w:rPr>
        <w:t>①贯彻落实财政部《财政支出绩效评价管理暂行办法》(财 预</w:t>
      </w:r>
      <w:r>
        <w:rPr>
          <w:rFonts w:hint="eastAsia" w:ascii="仿宋" w:hAnsi="仿宋" w:eastAsia="仿宋" w:cs="仿宋"/>
          <w:lang w:val="en-US" w:eastAsia="zh-CN"/>
        </w:rPr>
        <w:br w:type="textWrapping"/>
      </w:r>
      <w:r>
        <w:rPr>
          <w:rFonts w:hint="eastAsia" w:ascii="仿宋" w:hAnsi="仿宋" w:eastAsia="仿宋" w:cs="仿宋"/>
          <w:lang w:val="en-US" w:eastAsia="zh-CN"/>
        </w:rPr>
        <w:t xml:space="preserve">[2011]285号)文件精神，按照公共财政管理要求，运用一定的指标体系和评价标准，采取科学、规范的评价方法，采用定性及定量相结合的评价指标，对本项目的投入、过程、产出、效益进行客观公正地评价。 </w:t>
      </w:r>
    </w:p>
    <w:p>
      <w:pPr>
        <w:keepNext w:val="0"/>
        <w:keepLines w:val="0"/>
        <w:widowControl/>
        <w:suppressLineNumbers w:val="0"/>
        <w:jc w:val="left"/>
        <w:rPr>
          <w:rFonts w:hint="default" w:ascii="仿宋" w:hAnsi="仿宋" w:cs="仿宋"/>
          <w:lang w:val="en-US" w:eastAsia="zh-CN"/>
        </w:rPr>
      </w:pPr>
      <w:r>
        <w:rPr>
          <w:rFonts w:hint="default" w:ascii="仿宋" w:hAnsi="仿宋" w:cs="仿宋"/>
          <w:lang w:val="en-US" w:eastAsia="zh-CN"/>
        </w:rPr>
        <w:t>②通过绩效评价为合理分配资金、优化支出提供依据，也为逐步建立预算编制有目标，预算执行有监控，预算完成有评价，评价结果有反馈，反馈结果有应用的绩效评价机制提供决策依据。</w:t>
      </w:r>
    </w:p>
    <w:p>
      <w:pPr>
        <w:keepNext w:val="0"/>
        <w:keepLines w:val="0"/>
        <w:widowControl/>
        <w:suppressLineNumbers w:val="0"/>
        <w:jc w:val="left"/>
        <w:rPr>
          <w:rFonts w:hint="default" w:ascii="仿宋" w:hAnsi="仿宋" w:cs="仿宋"/>
          <w:lang w:val="en-US" w:eastAsia="zh-CN"/>
        </w:rPr>
      </w:pPr>
      <w:r>
        <w:rPr>
          <w:rFonts w:hint="default" w:ascii="仿宋" w:hAnsi="仿宋" w:cs="仿宋"/>
          <w:lang w:val="en-US" w:eastAsia="zh-CN"/>
        </w:rPr>
        <w:t>③通过绩效评价总结前一年度项目实施的经验教训，为进-步加强</w:t>
      </w:r>
    </w:p>
    <w:p>
      <w:pPr>
        <w:keepNext w:val="0"/>
        <w:keepLines w:val="0"/>
        <w:widowControl/>
        <w:suppressLineNumbers w:val="0"/>
        <w:ind w:left="0" w:leftChars="0" w:firstLine="0" w:firstLineChars="0"/>
        <w:jc w:val="left"/>
        <w:rPr>
          <w:rFonts w:hint="default" w:ascii="仿宋" w:hAnsi="仿宋" w:cs="仿宋"/>
          <w:lang w:val="en-US" w:eastAsia="zh-CN"/>
        </w:rPr>
      </w:pPr>
      <w:r>
        <w:rPr>
          <w:rFonts w:hint="default" w:ascii="仿宋" w:hAnsi="仿宋" w:cs="仿宋"/>
          <w:lang w:val="en-US" w:eastAsia="zh-CN"/>
        </w:rPr>
        <w:t>本站项目管理，提高项目建设水平，发挥财政资金效益。</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auto"/>
        <w:rPr>
          <w:rFonts w:hint="default" w:ascii="仿宋" w:hAnsi="仿宋" w:eastAsia="仿宋" w:cs="仿宋"/>
          <w:b/>
          <w:bCs/>
          <w:kern w:val="0"/>
          <w:sz w:val="28"/>
          <w:szCs w:val="28"/>
          <w:lang w:val="en-US" w:eastAsia="zh-CN" w:bidi="ar"/>
        </w:rPr>
      </w:pPr>
      <w:r>
        <w:rPr>
          <w:rFonts w:hint="default" w:ascii="仿宋" w:hAnsi="仿宋" w:eastAsia="仿宋" w:cs="仿宋"/>
          <w:b/>
          <w:bCs/>
          <w:kern w:val="0"/>
          <w:sz w:val="28"/>
          <w:szCs w:val="28"/>
          <w:lang w:val="en-US" w:eastAsia="zh-CN" w:bidi="ar"/>
        </w:rPr>
        <w:t>(二)绩效评价原则和依据、评价指标体系、评价方法</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1、绩效评价原则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本次绩效评价，本站遵循科学规范原则、公正公开原则、分级分类</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lang w:val="en-US" w:eastAsia="zh-CN"/>
        </w:rPr>
      </w:pPr>
      <w:r>
        <w:rPr>
          <w:rFonts w:hint="eastAsia" w:ascii="仿宋" w:hAnsi="仿宋" w:eastAsia="仿宋" w:cs="仿宋"/>
          <w:lang w:val="en-US" w:eastAsia="zh-CN"/>
        </w:rPr>
        <w:t>原则、绩效相关原则。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科学规范原则:绩效评价注重财政支出的经济性、效率性和有效性，严格执行规定的程序，采用定量与定性分析相结合的方法。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公正公开原则:坚持客观公正，标准统一、资料可靠，依法公开并</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lang w:val="en-US" w:eastAsia="zh-CN"/>
        </w:rPr>
      </w:pPr>
      <w:r>
        <w:rPr>
          <w:rFonts w:hint="eastAsia" w:ascii="仿宋" w:hAnsi="仿宋" w:eastAsia="仿宋" w:cs="仿宋"/>
          <w:lang w:val="en-US" w:eastAsia="zh-CN"/>
        </w:rPr>
        <w:t>接受监督。</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分级分类原则:绩效评估由县级财政部门、相关单位根据评价对象的特点分类组织实施。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绩效相关原则:绩效评价针对具体支出及其产出绩效进行，评价结果应清晰反映支出与产出绩效之间的紧密对应关系。</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2、绩效评价依据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lang w:val="en-US" w:eastAsia="zh-CN"/>
        </w:rPr>
      </w:pPr>
      <w:r>
        <w:rPr>
          <w:rFonts w:hint="eastAsia" w:ascii="仿宋" w:hAnsi="仿宋" w:cs="仿宋"/>
          <w:lang w:val="en-US" w:eastAsia="zh-CN"/>
        </w:rPr>
        <w:t>（1）</w:t>
      </w:r>
      <w:r>
        <w:rPr>
          <w:rFonts w:hint="default" w:ascii="仿宋" w:hAnsi="仿宋" w:eastAsia="仿宋" w:cs="仿宋"/>
          <w:lang w:val="en-US" w:eastAsia="zh-CN"/>
        </w:rPr>
        <w:t xml:space="preserve"> 财政部《财政支出绩效评价暂行管理办法》 (财预</w:t>
      </w:r>
      <w:r>
        <w:rPr>
          <w:rFonts w:hint="eastAsia" w:ascii="仿宋" w:hAnsi="仿宋" w:cs="仿宋"/>
          <w:lang w:val="en-US" w:eastAsia="zh-CN"/>
        </w:rPr>
        <w:t>[</w:t>
      </w:r>
      <w:r>
        <w:rPr>
          <w:rFonts w:hint="default" w:ascii="仿宋" w:hAnsi="仿宋" w:eastAsia="仿宋" w:cs="仿宋"/>
          <w:lang w:val="en-US" w:eastAsia="zh-CN"/>
        </w:rPr>
        <w:t>2011]285</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lang w:val="en-US" w:eastAsia="zh-CN"/>
        </w:rPr>
      </w:pPr>
      <w:r>
        <w:rPr>
          <w:rFonts w:hint="default" w:ascii="仿宋" w:hAnsi="仿宋" w:eastAsia="仿宋" w:cs="仿宋"/>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lang w:val="en-US" w:eastAsia="zh-CN"/>
        </w:rPr>
      </w:pPr>
      <w:r>
        <w:rPr>
          <w:rFonts w:hint="eastAsia" w:ascii="仿宋" w:hAnsi="仿宋" w:cs="仿宋"/>
          <w:lang w:val="en-US" w:eastAsia="zh-CN"/>
        </w:rPr>
        <w:t>（2）</w:t>
      </w:r>
      <w:r>
        <w:rPr>
          <w:rFonts w:hint="default" w:ascii="仿宋" w:hAnsi="仿宋" w:eastAsia="仿宋" w:cs="仿宋"/>
          <w:lang w:val="en-US" w:eastAsia="zh-CN"/>
        </w:rPr>
        <w:t>财政</w:t>
      </w:r>
      <w:r>
        <w:rPr>
          <w:rFonts w:hint="eastAsia" w:ascii="仿宋" w:hAnsi="仿宋" w:cs="仿宋"/>
          <w:lang w:val="en-US" w:eastAsia="zh-CN"/>
        </w:rPr>
        <w:t>部</w:t>
      </w:r>
      <w:r>
        <w:rPr>
          <w:rFonts w:hint="default" w:ascii="仿宋" w:hAnsi="仿宋" w:eastAsia="仿宋" w:cs="仿宋"/>
          <w:lang w:val="en-US" w:eastAsia="zh-CN"/>
        </w:rPr>
        <w:t>《推进预算绩效管理的指导意见》(财</w:t>
      </w:r>
      <w:r>
        <w:rPr>
          <w:rFonts w:hint="eastAsia" w:ascii="仿宋" w:hAnsi="仿宋" w:cs="仿宋"/>
          <w:lang w:val="en-US" w:eastAsia="zh-CN"/>
        </w:rPr>
        <w:t>预[</w:t>
      </w:r>
      <w:r>
        <w:rPr>
          <w:rFonts w:hint="default" w:ascii="仿宋" w:hAnsi="仿宋" w:eastAsia="仿宋" w:cs="仿宋"/>
          <w:lang w:val="en-US" w:eastAsia="zh-CN"/>
        </w:rPr>
        <w:t>2011]</w:t>
      </w:r>
      <w:r>
        <w:rPr>
          <w:rFonts w:hint="eastAsia" w:ascii="仿宋" w:hAnsi="仿宋" w:cs="仿宋"/>
          <w:lang w:val="en-US" w:eastAsia="zh-CN"/>
        </w:rPr>
        <w:t>416</w:t>
      </w:r>
      <w:r>
        <w:rPr>
          <w:rFonts w:hint="default" w:ascii="仿宋" w:hAnsi="仿宋" w:eastAsia="仿宋" w:cs="仿宋"/>
          <w:lang w:val="en-US" w:eastAsia="zh-CN"/>
        </w:rPr>
        <w:t>号)</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财政部《预算绩效管理共性指标体系框架》</w:t>
      </w:r>
      <w:r>
        <w:rPr>
          <w:rFonts w:hint="default" w:ascii="仿宋" w:hAnsi="仿宋" w:eastAsia="仿宋" w:cs="仿宋"/>
          <w:lang w:val="en-US" w:eastAsia="zh-CN"/>
        </w:rPr>
        <w:t>(财</w:t>
      </w:r>
      <w:r>
        <w:rPr>
          <w:rFonts w:hint="eastAsia" w:ascii="仿宋" w:hAnsi="仿宋" w:cs="仿宋"/>
          <w:lang w:val="en-US" w:eastAsia="zh-CN"/>
        </w:rPr>
        <w:t>预[</w:t>
      </w:r>
      <w:r>
        <w:rPr>
          <w:rFonts w:hint="default" w:ascii="仿宋" w:hAnsi="仿宋" w:eastAsia="仿宋" w:cs="仿宋"/>
          <w:lang w:val="en-US" w:eastAsia="zh-CN"/>
        </w:rPr>
        <w:t>201</w:t>
      </w:r>
      <w:r>
        <w:rPr>
          <w:rFonts w:hint="eastAsia" w:ascii="仿宋" w:hAnsi="仿宋" w:cs="仿宋"/>
          <w:lang w:val="en-US" w:eastAsia="zh-CN"/>
        </w:rPr>
        <w:t>3</w:t>
      </w:r>
      <w:r>
        <w:rPr>
          <w:rFonts w:hint="default" w:ascii="仿宋" w:hAnsi="仿宋" w:eastAsia="仿宋" w:cs="仿宋"/>
          <w:lang w:val="en-US" w:eastAsia="zh-CN"/>
        </w:rPr>
        <w:t>]</w:t>
      </w:r>
      <w:r>
        <w:rPr>
          <w:rFonts w:hint="eastAsia" w:ascii="仿宋" w:hAnsi="仿宋" w:cs="仿宋"/>
          <w:lang w:val="en-US" w:eastAsia="zh-CN"/>
        </w:rPr>
        <w:t>53</w:t>
      </w:r>
      <w:r>
        <w:rPr>
          <w:rFonts w:hint="default" w:ascii="仿宋" w:hAnsi="仿宋" w:eastAsia="仿宋" w:cs="仿宋"/>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lang w:val="en-US" w:eastAsia="zh-CN"/>
        </w:rPr>
      </w:pPr>
      <w:r>
        <w:rPr>
          <w:rFonts w:hint="eastAsia" w:ascii="仿宋" w:hAnsi="仿宋" w:cs="仿宋"/>
          <w:lang w:val="en-US" w:eastAsia="zh-CN"/>
        </w:rPr>
        <w:t>（4）</w:t>
      </w:r>
      <w:r>
        <w:rPr>
          <w:rFonts w:hint="eastAsia" w:ascii="仿宋" w:hAnsi="仿宋" w:eastAsia="仿宋" w:cs="仿宋"/>
          <w:lang w:val="en-US" w:eastAsia="zh-CN"/>
        </w:rPr>
        <w:t>江西省人民政府《关于全面推进预算绩效管理的实施意见》（赣府发[2013]8号）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rPr>
      </w:pPr>
      <w:r>
        <w:rPr>
          <w:rFonts w:hint="eastAsia"/>
          <w:lang w:eastAsia="zh-CN"/>
        </w:rPr>
        <w:t>（</w:t>
      </w:r>
      <w:r>
        <w:rPr>
          <w:rFonts w:hint="eastAsia"/>
          <w:lang w:val="en-US" w:eastAsia="zh-CN"/>
        </w:rPr>
        <w:t>5</w:t>
      </w:r>
      <w:r>
        <w:rPr>
          <w:rFonts w:hint="eastAsia"/>
          <w:lang w:eastAsia="zh-CN"/>
        </w:rPr>
        <w:t>）</w:t>
      </w:r>
      <w:r>
        <w:rPr>
          <w:rFonts w:hint="eastAsia"/>
        </w:rPr>
        <w:t>南昌市人民政府</w:t>
      </w:r>
      <w:r>
        <w:rPr>
          <w:rFonts w:hint="eastAsia"/>
          <w:lang w:eastAsia="zh-CN"/>
        </w:rPr>
        <w:t>《</w:t>
      </w:r>
      <w:r>
        <w:rPr>
          <w:rFonts w:hint="eastAsia"/>
        </w:rPr>
        <w:t>关于印发&lt;南昌市财政支出绩效评价管理办法&gt;（试行）的通知</w:t>
      </w:r>
      <w:r>
        <w:rPr>
          <w:rFonts w:hint="eastAsia"/>
          <w:lang w:eastAsia="zh-CN"/>
        </w:rPr>
        <w:t>》</w:t>
      </w:r>
      <w:r>
        <w:rPr>
          <w:rFonts w:hint="eastAsia"/>
        </w:rPr>
        <w:t>（洪府发[2014]8号）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lang w:val="en-US" w:eastAsia="zh-CN"/>
        </w:rPr>
      </w:pPr>
      <w:r>
        <w:rPr>
          <w:rFonts w:hint="eastAsia"/>
          <w:lang w:eastAsia="zh-CN"/>
        </w:rPr>
        <w:t>（</w:t>
      </w:r>
      <w:r>
        <w:rPr>
          <w:rFonts w:hint="eastAsia"/>
          <w:lang w:val="en-US" w:eastAsia="zh-CN"/>
        </w:rPr>
        <w:t>6</w:t>
      </w:r>
      <w:r>
        <w:rPr>
          <w:rFonts w:hint="eastAsia"/>
          <w:lang w:eastAsia="zh-CN"/>
        </w:rPr>
        <w:t>）</w:t>
      </w:r>
      <w:r>
        <w:rPr>
          <w:rFonts w:hint="eastAsia"/>
        </w:rPr>
        <w:t>南昌市财政局</w:t>
      </w:r>
      <w:r>
        <w:rPr>
          <w:rFonts w:hint="eastAsia"/>
          <w:lang w:eastAsia="zh-CN"/>
        </w:rPr>
        <w:t>《</w:t>
      </w:r>
      <w:r>
        <w:rPr>
          <w:rFonts w:hint="eastAsia"/>
        </w:rPr>
        <w:t>关于开展201</w:t>
      </w:r>
      <w:r>
        <w:rPr>
          <w:rFonts w:hint="eastAsia"/>
          <w:lang w:val="en-US" w:eastAsia="zh-CN"/>
        </w:rPr>
        <w:t>9</w:t>
      </w:r>
      <w:r>
        <w:rPr>
          <w:rFonts w:hint="eastAsia"/>
        </w:rPr>
        <w:t>年度市级部门财政项目支出绩效评价工作的通知</w:t>
      </w:r>
      <w:r>
        <w:rPr>
          <w:rFonts w:hint="eastAsia"/>
          <w:lang w:eastAsia="zh-CN"/>
        </w:rPr>
        <w:t>》</w:t>
      </w:r>
      <w:r>
        <w:rPr>
          <w:rFonts w:hint="eastAsia"/>
        </w:rPr>
        <w:t>（洪财办[20</w:t>
      </w:r>
      <w:r>
        <w:rPr>
          <w:rFonts w:hint="eastAsia"/>
          <w:lang w:val="en-US" w:eastAsia="zh-CN"/>
        </w:rPr>
        <w:t>20</w:t>
      </w:r>
      <w:r>
        <w:rPr>
          <w:rFonts w:hint="eastAsia"/>
        </w:rPr>
        <w:t>]</w:t>
      </w:r>
      <w:r>
        <w:rPr>
          <w:rFonts w:hint="eastAsia"/>
          <w:lang w:val="en-US" w:eastAsia="zh-CN"/>
        </w:rPr>
        <w:t>10</w:t>
      </w:r>
      <w:r>
        <w:rPr>
          <w:rFonts w:hint="eastAsia"/>
        </w:rPr>
        <w:t>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lang w:val="en-US" w:eastAsia="zh-CN"/>
        </w:rPr>
      </w:pPr>
      <w:r>
        <w:rPr>
          <w:rFonts w:hint="eastAsia" w:ascii="仿宋" w:hAnsi="仿宋" w:cs="仿宋"/>
          <w:lang w:val="en-US" w:eastAsia="zh-CN"/>
        </w:rPr>
        <w:t>（7）</w:t>
      </w:r>
      <w:r>
        <w:rPr>
          <w:rFonts w:hint="default" w:ascii="仿宋" w:hAnsi="仿宋" w:eastAsia="仿宋" w:cs="仿宋"/>
          <w:lang w:val="en-US" w:eastAsia="zh-CN"/>
        </w:rPr>
        <w:t>《南昌市人民政府办公厅关于印发南昌市政务服务网基层延</w:t>
      </w:r>
      <w:r>
        <w:rPr>
          <w:rFonts w:hint="default" w:ascii="仿宋" w:hAnsi="仿宋" w:eastAsia="仿宋" w:cs="仿宋"/>
          <w:lang w:val="en-US" w:eastAsia="zh-CN"/>
        </w:rPr>
        <w:br w:type="textWrapping"/>
      </w:r>
      <w:r>
        <w:rPr>
          <w:rFonts w:hint="default" w:ascii="仿宋" w:hAnsi="仿宋" w:eastAsia="仿宋" w:cs="仿宋"/>
          <w:lang w:val="en-US" w:eastAsia="zh-CN"/>
        </w:rPr>
        <w:t>伸工作建设方案的通知》(洪府厅发[2016</w:t>
      </w:r>
      <w:r>
        <w:rPr>
          <w:rFonts w:hint="eastAsia" w:ascii="仿宋" w:hAnsi="仿宋" w:cs="仿宋"/>
          <w:lang w:val="en-US" w:eastAsia="zh-CN"/>
        </w:rPr>
        <w:t>]</w:t>
      </w:r>
      <w:r>
        <w:rPr>
          <w:rFonts w:hint="default" w:ascii="仿宋" w:hAnsi="仿宋" w:eastAsia="仿宋" w:cs="仿宋"/>
          <w:lang w:val="en-US" w:eastAsia="zh-CN"/>
        </w:rPr>
        <w:t>109号)</w:t>
      </w:r>
      <w:r>
        <w:rPr>
          <w:rFonts w:hint="default" w:ascii="仿宋" w:hAnsi="仿宋" w:eastAsia="仿宋" w:cs="仿宋"/>
          <w:lang w:val="en-US" w:eastAsia="zh-CN"/>
        </w:rPr>
        <w:br w:type="textWrapping"/>
      </w:r>
      <w:r>
        <w:rPr>
          <w:rFonts w:hint="eastAsia" w:ascii="仿宋" w:hAnsi="仿宋" w:cs="仿宋"/>
          <w:lang w:val="en-US" w:eastAsia="zh-CN"/>
        </w:rPr>
        <w:t xml:space="preserve">    （8）</w:t>
      </w:r>
      <w:r>
        <w:rPr>
          <w:rFonts w:hint="default" w:ascii="仿宋" w:hAnsi="仿宋" w:eastAsia="仿宋" w:cs="仿宋"/>
          <w:lang w:val="en-US" w:eastAsia="zh-CN"/>
        </w:rPr>
        <w:t> 《关于恳请批复&lt;关于在中心城区增设不动产抵押类登记窗口</w:t>
      </w:r>
      <w:r>
        <w:rPr>
          <w:rFonts w:hint="default" w:ascii="仿宋" w:hAnsi="仿宋" w:eastAsia="仿宋" w:cs="仿宋"/>
          <w:lang w:val="en-US" w:eastAsia="zh-CN"/>
        </w:rPr>
        <w:br w:type="textWrapping"/>
      </w:r>
      <w:r>
        <w:rPr>
          <w:rFonts w:hint="default" w:ascii="仿宋" w:hAnsi="仿宋" w:eastAsia="仿宋" w:cs="仿宋"/>
          <w:lang w:val="en-US" w:eastAsia="zh-CN"/>
        </w:rPr>
        <w:t>的实施方案&gt;的请示》(洪不动产文[2017]5号)</w:t>
      </w:r>
      <w:r>
        <w:rPr>
          <w:rFonts w:hint="default" w:ascii="仿宋" w:hAnsi="仿宋" w:eastAsia="仿宋" w:cs="仿宋"/>
          <w:lang w:val="en-US" w:eastAsia="zh-CN"/>
        </w:rPr>
        <w:br w:type="textWrapping"/>
      </w:r>
      <w:r>
        <w:rPr>
          <w:rFonts w:hint="eastAsia" w:ascii="仿宋" w:hAnsi="仿宋" w:cs="仿宋"/>
          <w:lang w:val="en-US" w:eastAsia="zh-CN"/>
        </w:rPr>
        <w:t xml:space="preserve">    （9）</w:t>
      </w:r>
      <w:r>
        <w:rPr>
          <w:rFonts w:hint="default" w:ascii="仿宋" w:hAnsi="仿宋" w:eastAsia="仿宋" w:cs="仿宋"/>
          <w:lang w:val="en-US" w:eastAsia="zh-CN"/>
        </w:rPr>
        <w:t> 《南昌市人民政府办公厅关于在中心城区增设不动产抵押类</w:t>
      </w:r>
      <w:r>
        <w:rPr>
          <w:rFonts w:hint="default" w:ascii="仿宋" w:hAnsi="仿宋" w:eastAsia="仿宋" w:cs="仿宋"/>
          <w:lang w:val="en-US" w:eastAsia="zh-CN"/>
        </w:rPr>
        <w:br w:type="textWrapping"/>
      </w:r>
      <w:r>
        <w:rPr>
          <w:rFonts w:hint="default" w:ascii="仿宋" w:hAnsi="仿宋" w:eastAsia="仿宋" w:cs="仿宋"/>
          <w:lang w:val="en-US" w:eastAsia="zh-CN"/>
        </w:rPr>
        <w:t>登记窗口的实施方案的批复》(洪府厅字[2017]252号)</w:t>
      </w:r>
      <w:r>
        <w:rPr>
          <w:rFonts w:hint="default" w:ascii="仿宋" w:hAnsi="仿宋" w:eastAsia="仿宋" w:cs="仿宋"/>
          <w:lang w:val="en-US" w:eastAsia="zh-CN"/>
        </w:rPr>
        <w:br w:type="textWrapping"/>
      </w:r>
      <w:r>
        <w:rPr>
          <w:rFonts w:hint="eastAsia" w:ascii="仿宋" w:hAnsi="仿宋" w:cs="仿宋"/>
          <w:lang w:val="en-US" w:eastAsia="zh-CN"/>
        </w:rPr>
        <w:t xml:space="preserve">        </w:t>
      </w:r>
      <w:r>
        <w:rPr>
          <w:rFonts w:hint="default" w:ascii="仿宋" w:hAnsi="仿宋" w:eastAsia="仿宋" w:cs="仿宋"/>
          <w:b/>
          <w:bCs/>
          <w:lang w:val="en-US" w:eastAsia="zh-CN"/>
        </w:rPr>
        <w:t>3、评价指标体系</w:t>
      </w:r>
      <w:r>
        <w:rPr>
          <w:rFonts w:hint="default" w:ascii="仿宋" w:hAnsi="仿宋" w:eastAsia="仿宋" w:cs="仿宋"/>
          <w:lang w:val="en-US" w:eastAsia="zh-CN"/>
        </w:rPr>
        <w:br w:type="textWrapping"/>
      </w:r>
      <w:r>
        <w:rPr>
          <w:rFonts w:hint="eastAsia" w:ascii="仿宋" w:hAnsi="仿宋" w:cs="仿宋"/>
          <w:lang w:val="en-US" w:eastAsia="zh-CN"/>
        </w:rPr>
        <w:t xml:space="preserve">    </w:t>
      </w:r>
      <w:r>
        <w:rPr>
          <w:rFonts w:hint="default" w:ascii="仿宋" w:hAnsi="仿宋" w:eastAsia="仿宋" w:cs="仿宋"/>
          <w:lang w:val="en-US" w:eastAsia="zh-CN"/>
        </w:rPr>
        <w:t xml:space="preserve">评价指标体系是开展绩效评价工作的核心，根据财政部《预算绩效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lang w:val="en-US" w:eastAsia="zh-CN"/>
        </w:rPr>
      </w:pPr>
      <w:r>
        <w:rPr>
          <w:rFonts w:hint="default" w:ascii="仿宋" w:hAnsi="仿宋" w:eastAsia="仿宋" w:cs="仿宋"/>
          <w:lang w:val="en-US" w:eastAsia="zh-CN"/>
        </w:rPr>
        <w:t>评价共性指标体系框架》等文件精神及</w:t>
      </w:r>
      <w:r>
        <w:rPr>
          <w:rFonts w:hint="eastAsia" w:ascii="仿宋" w:hAnsi="仿宋" w:cs="仿宋"/>
          <w:lang w:val="en-US" w:eastAsia="zh-CN"/>
        </w:rPr>
        <w:t>本项目的具体特点，依据南昌市人民政府</w:t>
      </w:r>
      <w:r>
        <w:rPr>
          <w:rFonts w:hint="default" w:ascii="仿宋" w:hAnsi="仿宋" w:eastAsia="仿宋" w:cs="仿宋"/>
          <w:lang w:val="en-US" w:eastAsia="zh-CN"/>
        </w:rPr>
        <w:t>《关于印发</w:t>
      </w:r>
      <w:r>
        <w:rPr>
          <w:rFonts w:hint="eastAsia" w:ascii="仿宋" w:hAnsi="仿宋" w:cs="仿宋"/>
          <w:lang w:val="en-US" w:eastAsia="zh-CN"/>
        </w:rPr>
        <w:t>&lt;</w:t>
      </w:r>
      <w:r>
        <w:rPr>
          <w:rFonts w:hint="default" w:ascii="仿宋" w:hAnsi="仿宋" w:eastAsia="仿宋" w:cs="仿宋"/>
          <w:lang w:val="en-US" w:eastAsia="zh-CN"/>
        </w:rPr>
        <w:t>南昌市财政</w:t>
      </w:r>
      <w:r>
        <w:rPr>
          <w:rFonts w:hint="eastAsia" w:ascii="仿宋" w:hAnsi="仿宋" w:cs="仿宋"/>
          <w:lang w:val="en-US" w:eastAsia="zh-CN"/>
        </w:rPr>
        <w:t>支出绩效评价</w:t>
      </w:r>
      <w:r>
        <w:rPr>
          <w:rFonts w:hint="default" w:ascii="仿宋" w:hAnsi="仿宋" w:eastAsia="仿宋" w:cs="仿宋"/>
          <w:lang w:val="en-US" w:eastAsia="zh-CN"/>
        </w:rPr>
        <w:t>管理办法&gt; (试行)</w:t>
      </w:r>
      <w:r>
        <w:rPr>
          <w:rFonts w:hint="eastAsia" w:ascii="仿宋" w:hAnsi="仿宋" w:cs="仿宋"/>
          <w:lang w:val="en-US" w:eastAsia="zh-CN"/>
        </w:rPr>
        <w:t>的通知》</w:t>
      </w:r>
      <w:r>
        <w:rPr>
          <w:rFonts w:hint="default" w:ascii="仿宋" w:hAnsi="仿宋" w:eastAsia="仿宋" w:cs="仿宋"/>
          <w:lang w:val="en-US" w:eastAsia="zh-CN"/>
        </w:rPr>
        <w:t>(洪府发</w:t>
      </w:r>
      <w:r>
        <w:rPr>
          <w:rFonts w:hint="eastAsia"/>
        </w:rPr>
        <w:t>[2014]</w:t>
      </w:r>
      <w:r>
        <w:rPr>
          <w:rFonts w:hint="default" w:ascii="仿宋" w:hAnsi="仿宋" w:eastAsia="仿宋" w:cs="仿宋"/>
          <w:lang w:val="en-US" w:eastAsia="zh-CN"/>
        </w:rPr>
        <w:t>8号)，结合本项目的特点，运用定量定性原则，设置了合理可行的评价体系，包括投入指标(项目立项、资金落实)、过程指标(业务管理、财务管理)、产出数量与质量指标、经济效益与社会效益指标等，确定了绩效评价一级指标、二级指标和三级指标。</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4、评价方法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本项目绩效评价主要根据设定的评价指标和计分标准结合本单位具体情况进行自评打分，采用百分制进行计分。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 xml:space="preserve">根据财政部《预算绩效评价共性指标体系框架》等文件精神，确定本次绩效评价指标的整体框架，包括项目投入指标(项目立项、资金落实)，过程指标(业务管理、财务管理)，项目产出(产出数量指标、产出质量指标、产出时效指标、产出成本指标) </w:t>
      </w:r>
      <w:r>
        <w:rPr>
          <w:rFonts w:hint="eastAsia" w:ascii="仿宋" w:hAnsi="仿宋" w:cs="仿宋"/>
          <w:lang w:val="en-US" w:eastAsia="zh-CN"/>
        </w:rPr>
        <w:t>，</w:t>
      </w:r>
      <w:r>
        <w:rPr>
          <w:rFonts w:hint="default" w:ascii="仿宋" w:hAnsi="仿宋" w:eastAsia="仿宋" w:cs="仿宋"/>
          <w:lang w:val="en-US" w:eastAsia="zh-CN"/>
        </w:rPr>
        <w:t>项目效果(经济效益指标、社会效益指标、生态效益指标、可持续影响指标)，项目满意度(社会公众或服务对象满意度)。结合《关于在中心城区增设不动产抵押类登记窗口的实施方案》以及项目实际情况等内容，确定本次绩效评价指标体系的个性指标，并通过与相关各方的协商最终确定全部指标内容。指标数据来源于法规与政府文件、基础数据采集、问卷调查、访谈等。具体详见《项目绩效评分表》。</w:t>
      </w:r>
    </w:p>
    <w:p>
      <w:pPr>
        <w:keepNext w:val="0"/>
        <w:keepLines w:val="0"/>
        <w:pageBreakBefore w:val="0"/>
        <w:widowControl w:val="0"/>
        <w:numPr>
          <w:ilvl w:val="0"/>
          <w:numId w:val="4"/>
        </w:numPr>
        <w:kinsoku/>
        <w:wordWrap/>
        <w:overflowPunct/>
        <w:topLinePunct w:val="0"/>
        <w:autoSpaceDE/>
        <w:autoSpaceDN/>
        <w:bidi w:val="0"/>
        <w:adjustRightInd/>
        <w:snapToGrid/>
        <w:ind w:left="562" w:leftChars="0" w:hanging="562" w:hanging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both"/>
        <w:textAlignment w:val="auto"/>
        <w:rPr>
          <w:rFonts w:hint="default" w:ascii="仿宋" w:hAnsi="仿宋" w:eastAsia="仿宋" w:cs="仿宋"/>
          <w:b/>
          <w:bCs/>
          <w:lang w:val="en-US" w:eastAsia="zh-CN"/>
        </w:rPr>
      </w:pPr>
      <w:r>
        <w:rPr>
          <w:rFonts w:hint="eastAsia" w:ascii="仿宋" w:hAnsi="仿宋" w:eastAsia="仿宋" w:cs="仿宋"/>
          <w:lang w:val="en-US" w:eastAsia="zh-CN"/>
        </w:rPr>
        <w:t>根据《南昌市财政局关于开展2019年度市级部门财政项目支出绩效评价工作的通知》的要求，局机关召集各相关项目负责人于2020年3月23日开展2019年项目支出绩效评价工作会议，会议中详细探讨该项工作的开展情况，并对金额较大的项目重点分析，要求各项目负责人积极开展项目绩效自评工作。5月15日，项目绩效评价小组在我局1929会议室根据项目情况讨论研究进行复评并形成评价报告。</w:t>
      </w:r>
    </w:p>
    <w:p>
      <w:pPr>
        <w:keepNext w:val="0"/>
        <w:keepLines w:val="0"/>
        <w:pageBreakBefore w:val="0"/>
        <w:widowControl w:val="0"/>
        <w:numPr>
          <w:ilvl w:val="0"/>
          <w:numId w:val="5"/>
        </w:numPr>
        <w:kinsoku/>
        <w:wordWrap/>
        <w:overflowPunct/>
        <w:topLinePunct w:val="0"/>
        <w:autoSpaceDE/>
        <w:autoSpaceDN/>
        <w:bidi w:val="0"/>
        <w:adjustRightInd/>
        <w:snapToGrid/>
        <w:jc w:val="left"/>
        <w:textAlignment w:val="auto"/>
        <w:rPr>
          <w:rFonts w:hint="eastAsia" w:ascii="仿宋" w:hAnsi="仿宋" w:cs="仿宋"/>
          <w:b/>
          <w:bCs/>
          <w:sz w:val="32"/>
          <w:szCs w:val="32"/>
          <w:lang w:val="en-US" w:eastAsia="zh-CN"/>
        </w:rPr>
      </w:pPr>
      <w:r>
        <w:rPr>
          <w:rFonts w:hint="eastAsia" w:ascii="仿宋" w:hAnsi="仿宋" w:cs="仿宋"/>
          <w:b/>
          <w:bCs/>
          <w:sz w:val="32"/>
          <w:szCs w:val="32"/>
          <w:lang w:val="en-US" w:eastAsia="zh-CN"/>
        </w:rPr>
        <w:t>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lang w:val="en-US" w:eastAsia="zh-CN"/>
        </w:rPr>
        <w:t xml:space="preserve"> </w:t>
      </w:r>
      <w:r>
        <w:rPr>
          <w:rFonts w:hint="default" w:ascii="仿宋" w:hAnsi="仿宋" w:eastAsia="仿宋" w:cs="仿宋"/>
          <w:b w:val="0"/>
          <w:bCs w:val="0"/>
          <w:lang w:val="en-US" w:eastAsia="zh-CN"/>
        </w:rPr>
        <w:t>201</w:t>
      </w:r>
      <w:r>
        <w:rPr>
          <w:rFonts w:hint="eastAsia" w:ascii="仿宋" w:hAnsi="仿宋" w:cs="仿宋"/>
          <w:b w:val="0"/>
          <w:bCs w:val="0"/>
          <w:lang w:val="en-US" w:eastAsia="zh-CN"/>
        </w:rPr>
        <w:t>9</w:t>
      </w:r>
      <w:r>
        <w:rPr>
          <w:rFonts w:hint="default" w:ascii="仿宋" w:hAnsi="仿宋" w:eastAsia="仿宋" w:cs="仿宋"/>
          <w:b w:val="0"/>
          <w:bCs w:val="0"/>
          <w:lang w:val="en-US" w:eastAsia="zh-CN"/>
        </w:rPr>
        <w:t>年度中心城区增设不动产登记窗口所需设备购买经费项目,目标明确，项目符合申报条件，从资金落实执行情况、项目业务管理、财务管理、项目产出数量、质量、时效、成本、项目社会效益、可持续影响、群众满意度等方面很好</w:t>
      </w:r>
      <w:r>
        <w:rPr>
          <w:rFonts w:hint="eastAsia" w:ascii="仿宋" w:hAnsi="仿宋" w:cs="仿宋"/>
          <w:b w:val="0"/>
          <w:bCs w:val="0"/>
          <w:lang w:val="en-US" w:eastAsia="zh-CN"/>
        </w:rPr>
        <w:t>地</w:t>
      </w:r>
      <w:r>
        <w:rPr>
          <w:rFonts w:hint="default" w:ascii="仿宋" w:hAnsi="仿宋" w:eastAsia="仿宋" w:cs="仿宋"/>
          <w:b w:val="0"/>
          <w:bCs w:val="0"/>
          <w:lang w:val="en-US" w:eastAsia="zh-CN"/>
        </w:rPr>
        <w:t>执行了有关政策制度。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cs="仿宋"/>
          <w:b/>
          <w:bCs/>
          <w:sz w:val="32"/>
          <w:szCs w:val="32"/>
          <w:lang w:val="en-US" w:eastAsia="zh-CN"/>
        </w:rPr>
      </w:pPr>
      <w:r>
        <w:rPr>
          <w:rFonts w:hint="default" w:ascii="仿宋" w:hAnsi="仿宋" w:eastAsia="仿宋" w:cs="仿宋"/>
          <w:b w:val="0"/>
          <w:bCs w:val="0"/>
          <w:lang w:val="en-US" w:eastAsia="zh-CN"/>
        </w:rPr>
        <w:t>该项目围绕绩效评价指标体系，通过数据采集及综合分析等方式，对本项目绩效进行了客观、公正的评价，最终评价得分为9</w:t>
      </w:r>
      <w:r>
        <w:rPr>
          <w:rFonts w:hint="eastAsia" w:ascii="仿宋" w:hAnsi="仿宋" w:cs="仿宋"/>
          <w:b w:val="0"/>
          <w:bCs w:val="0"/>
          <w:lang w:val="en-US" w:eastAsia="zh-CN"/>
        </w:rPr>
        <w:t>7</w:t>
      </w:r>
      <w:r>
        <w:rPr>
          <w:rFonts w:hint="default" w:ascii="仿宋" w:hAnsi="仿宋" w:eastAsia="仿宋" w:cs="仿宋"/>
          <w:b w:val="0"/>
          <w:bCs w:val="0"/>
          <w:lang w:val="en-US" w:eastAsia="zh-CN"/>
        </w:rPr>
        <w:t>分，</w:t>
      </w:r>
      <w:r>
        <w:rPr>
          <w:rFonts w:hint="eastAsia" w:ascii="仿宋" w:hAnsi="仿宋" w:cs="仿宋"/>
          <w:b w:val="0"/>
          <w:bCs w:val="0"/>
          <w:lang w:val="en-US" w:eastAsia="zh-CN"/>
        </w:rPr>
        <w:t>复评得分为97分，</w:t>
      </w:r>
      <w:r>
        <w:rPr>
          <w:rFonts w:hint="default" w:ascii="仿宋" w:hAnsi="仿宋" w:eastAsia="仿宋" w:cs="仿宋"/>
          <w:b w:val="0"/>
          <w:bCs w:val="0"/>
          <w:lang w:val="en-US" w:eastAsia="zh-CN"/>
        </w:rPr>
        <w:t>评价等级为“优”。</w:t>
      </w:r>
    </w:p>
    <w:tbl>
      <w:tblPr>
        <w:tblStyle w:val="11"/>
        <w:tblpPr w:leftFromText="180" w:rightFromText="180" w:vertAnchor="text" w:horzAnchor="margin" w:tblpXSpec="center" w:tblpY="-303"/>
        <w:tblOverlap w:val="never"/>
        <w:tblW w:w="9854" w:type="dxa"/>
        <w:tblInd w:w="0" w:type="dxa"/>
        <w:tblLayout w:type="fixed"/>
        <w:tblCellMar>
          <w:top w:w="0" w:type="dxa"/>
          <w:left w:w="108" w:type="dxa"/>
          <w:bottom w:w="0" w:type="dxa"/>
          <w:right w:w="108" w:type="dxa"/>
        </w:tblCellMar>
      </w:tblPr>
      <w:tblGrid>
        <w:gridCol w:w="640"/>
        <w:gridCol w:w="1064"/>
        <w:gridCol w:w="1206"/>
        <w:gridCol w:w="980"/>
        <w:gridCol w:w="1136"/>
        <w:gridCol w:w="1200"/>
        <w:gridCol w:w="1020"/>
        <w:gridCol w:w="146"/>
        <w:gridCol w:w="500"/>
        <w:gridCol w:w="268"/>
        <w:gridCol w:w="274"/>
        <w:gridCol w:w="651"/>
        <w:gridCol w:w="769"/>
      </w:tblGrid>
      <w:tr>
        <w:tblPrEx>
          <w:tblCellMar>
            <w:top w:w="0" w:type="dxa"/>
            <w:left w:w="108" w:type="dxa"/>
            <w:bottom w:w="0" w:type="dxa"/>
            <w:right w:w="108" w:type="dxa"/>
          </w:tblCellMar>
        </w:tblPrEx>
        <w:trPr>
          <w:trHeight w:val="454" w:hRule="atLeast"/>
        </w:trPr>
        <w:tc>
          <w:tcPr>
            <w:tcW w:w="9854" w:type="dxa"/>
            <w:gridSpan w:val="13"/>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项目支出绩效自评表</w:t>
            </w:r>
          </w:p>
        </w:tc>
      </w:tr>
      <w:tr>
        <w:tblPrEx>
          <w:tblCellMar>
            <w:top w:w="0" w:type="dxa"/>
            <w:left w:w="108" w:type="dxa"/>
            <w:bottom w:w="0" w:type="dxa"/>
            <w:right w:w="108" w:type="dxa"/>
          </w:tblCellMar>
        </w:tblPrEx>
        <w:trPr>
          <w:trHeight w:val="370" w:hRule="atLeast"/>
        </w:trPr>
        <w:tc>
          <w:tcPr>
            <w:tcW w:w="9854" w:type="dxa"/>
            <w:gridSpan w:val="13"/>
          </w:tcPr>
          <w:p>
            <w:pPr>
              <w:widowControl/>
              <w:jc w:val="center"/>
              <w:rPr>
                <w:rFonts w:ascii="黑体" w:hAnsi="宋体" w:eastAsia="黑体" w:cs="宋体"/>
                <w:kern w:val="0"/>
                <w:szCs w:val="21"/>
              </w:rPr>
            </w:pPr>
            <w:r>
              <w:rPr>
                <w:rFonts w:hint="eastAsia" w:ascii="黑体" w:hAnsi="宋体" w:eastAsia="黑体" w:cs="宋体"/>
                <w:kern w:val="0"/>
                <w:szCs w:val="21"/>
              </w:rPr>
              <w:t>（  2019 年度）</w:t>
            </w:r>
          </w:p>
        </w:tc>
      </w:tr>
      <w:tr>
        <w:tblPrEx>
          <w:tblCellMar>
            <w:top w:w="0" w:type="dxa"/>
            <w:left w:w="108" w:type="dxa"/>
            <w:bottom w:w="0" w:type="dxa"/>
            <w:right w:w="108" w:type="dxa"/>
          </w:tblCellMar>
        </w:tblPrEx>
        <w:trPr>
          <w:trHeight w:val="300" w:hRule="exact"/>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Theme="minorEastAsia" w:hAnsiTheme="minorEastAsia" w:eastAsiaTheme="minorEastAsia" w:cstheme="minorEastAsia"/>
                <w:kern w:val="0"/>
                <w:sz w:val="21"/>
                <w:szCs w:val="21"/>
              </w:rPr>
              <w:t>项目名称</w:t>
            </w:r>
          </w:p>
        </w:tc>
        <w:tc>
          <w:tcPr>
            <w:tcW w:w="8150"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Theme="minorEastAsia" w:hAnsiTheme="minorEastAsia" w:eastAsiaTheme="minorEastAsia" w:cstheme="minorEastAsia"/>
                <w:kern w:val="0"/>
                <w:sz w:val="21"/>
                <w:szCs w:val="21"/>
              </w:rPr>
              <w:t>中心城区不动产登记分窗口硬盘及网络光纤采购项目</w:t>
            </w:r>
          </w:p>
        </w:tc>
      </w:tr>
      <w:tr>
        <w:tblPrEx>
          <w:tblCellMar>
            <w:top w:w="0" w:type="dxa"/>
            <w:left w:w="108" w:type="dxa"/>
            <w:bottom w:w="0" w:type="dxa"/>
            <w:right w:w="108" w:type="dxa"/>
          </w:tblCellMar>
        </w:tblPrEx>
        <w:trPr>
          <w:trHeight w:val="480" w:hRule="exact"/>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主管部门</w:t>
            </w:r>
          </w:p>
        </w:tc>
        <w:tc>
          <w:tcPr>
            <w:tcW w:w="452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南昌市自然资源局</w:t>
            </w:r>
          </w:p>
        </w:tc>
        <w:tc>
          <w:tcPr>
            <w:tcW w:w="1166" w:type="dxa"/>
            <w:gridSpan w:val="2"/>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实施单位</w:t>
            </w:r>
          </w:p>
        </w:tc>
        <w:tc>
          <w:tcPr>
            <w:tcW w:w="2462" w:type="dxa"/>
            <w:gridSpan w:val="5"/>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南昌市国土资源档案信息中心</w:t>
            </w:r>
          </w:p>
        </w:tc>
      </w:tr>
      <w:tr>
        <w:tblPrEx>
          <w:tblCellMar>
            <w:top w:w="0" w:type="dxa"/>
            <w:left w:w="108" w:type="dxa"/>
            <w:bottom w:w="0" w:type="dxa"/>
            <w:right w:w="108" w:type="dxa"/>
          </w:tblCellMar>
        </w:tblPrEx>
        <w:trPr>
          <w:trHeight w:val="495" w:hRule="exact"/>
        </w:trPr>
        <w:tc>
          <w:tcPr>
            <w:tcW w:w="17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项目资金</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（万元）</w:t>
            </w: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136" w:type="dxa"/>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年初</w:t>
            </w:r>
          </w:p>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预算数</w:t>
            </w:r>
          </w:p>
        </w:tc>
        <w:tc>
          <w:tcPr>
            <w:tcW w:w="1200" w:type="dxa"/>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全年</w:t>
            </w:r>
          </w:p>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预算数</w:t>
            </w:r>
          </w:p>
        </w:tc>
        <w:tc>
          <w:tcPr>
            <w:tcW w:w="1166" w:type="dxa"/>
            <w:gridSpan w:val="2"/>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全年执行数</w:t>
            </w:r>
          </w:p>
        </w:tc>
        <w:tc>
          <w:tcPr>
            <w:tcW w:w="768" w:type="dxa"/>
            <w:gridSpan w:val="2"/>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分值</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执行率</w:t>
            </w:r>
          </w:p>
        </w:tc>
        <w:tc>
          <w:tcPr>
            <w:tcW w:w="769" w:type="dxa"/>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得分</w:t>
            </w:r>
          </w:p>
        </w:tc>
      </w:tr>
      <w:tr>
        <w:tblPrEx>
          <w:tblCellMar>
            <w:top w:w="0" w:type="dxa"/>
            <w:left w:w="108" w:type="dxa"/>
            <w:bottom w:w="0" w:type="dxa"/>
            <w:right w:w="108" w:type="dxa"/>
          </w:tblCellMar>
        </w:tblPrEx>
        <w:trPr>
          <w:trHeight w:val="354" w:hRule="exact"/>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年度资金总额</w:t>
            </w:r>
          </w:p>
        </w:tc>
        <w:tc>
          <w:tcPr>
            <w:tcW w:w="1136" w:type="dxa"/>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13.4812</w:t>
            </w:r>
          </w:p>
        </w:tc>
        <w:tc>
          <w:tcPr>
            <w:tcW w:w="1200" w:type="dxa"/>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13.4812</w:t>
            </w:r>
          </w:p>
        </w:tc>
        <w:tc>
          <w:tcPr>
            <w:tcW w:w="1166" w:type="dxa"/>
            <w:gridSpan w:val="2"/>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13.4812</w:t>
            </w:r>
          </w:p>
        </w:tc>
        <w:tc>
          <w:tcPr>
            <w:tcW w:w="768" w:type="dxa"/>
            <w:gridSpan w:val="2"/>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100%</w:t>
            </w:r>
          </w:p>
        </w:tc>
        <w:tc>
          <w:tcPr>
            <w:tcW w:w="769" w:type="dxa"/>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r>
      <w:tr>
        <w:tblPrEx>
          <w:tblCellMar>
            <w:top w:w="0" w:type="dxa"/>
            <w:left w:w="108" w:type="dxa"/>
            <w:bottom w:w="0" w:type="dxa"/>
            <w:right w:w="108" w:type="dxa"/>
          </w:tblCellMar>
        </w:tblPrEx>
        <w:trPr>
          <w:trHeight w:val="358" w:hRule="exact"/>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其中：当年财政拨款</w:t>
            </w:r>
          </w:p>
        </w:tc>
        <w:tc>
          <w:tcPr>
            <w:tcW w:w="1136" w:type="dxa"/>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13.4812</w:t>
            </w:r>
          </w:p>
        </w:tc>
        <w:tc>
          <w:tcPr>
            <w:tcW w:w="1200" w:type="dxa"/>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13.4812</w:t>
            </w:r>
          </w:p>
        </w:tc>
        <w:tc>
          <w:tcPr>
            <w:tcW w:w="1166" w:type="dxa"/>
            <w:gridSpan w:val="2"/>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13.4812</w:t>
            </w:r>
          </w:p>
        </w:tc>
        <w:tc>
          <w:tcPr>
            <w:tcW w:w="768" w:type="dxa"/>
            <w:gridSpan w:val="2"/>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100</w:t>
            </w:r>
            <w:r>
              <w:rPr>
                <w:rFonts w:hint="eastAsia" w:asciiTheme="minorEastAsia" w:hAnsiTheme="minorEastAsia" w:eastAsiaTheme="minorEastAsia" w:cstheme="minorEastAsia"/>
                <w:kern w:val="0"/>
                <w:sz w:val="21"/>
                <w:szCs w:val="21"/>
              </w:rPr>
              <w:t>%</w:t>
            </w:r>
          </w:p>
        </w:tc>
        <w:tc>
          <w:tcPr>
            <w:tcW w:w="769" w:type="dxa"/>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r>
      <w:tr>
        <w:tblPrEx>
          <w:tblCellMar>
            <w:top w:w="0" w:type="dxa"/>
            <w:left w:w="108" w:type="dxa"/>
            <w:bottom w:w="0" w:type="dxa"/>
            <w:right w:w="108" w:type="dxa"/>
          </w:tblCellMar>
        </w:tblPrEx>
        <w:trPr>
          <w:trHeight w:val="347" w:hRule="exact"/>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上年结转资金</w:t>
            </w:r>
          </w:p>
        </w:tc>
        <w:tc>
          <w:tcPr>
            <w:tcW w:w="1136"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16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9"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355" w:hRule="exact"/>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其他资金</w:t>
            </w:r>
          </w:p>
        </w:tc>
        <w:tc>
          <w:tcPr>
            <w:tcW w:w="1136"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16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9"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300" w:hRule="exact"/>
        </w:trPr>
        <w:tc>
          <w:tcPr>
            <w:tcW w:w="640" w:type="dxa"/>
            <w:vMerge w:val="restart"/>
            <w:tcBorders>
              <w:top w:val="nil"/>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年度总体目标</w:t>
            </w:r>
          </w:p>
        </w:tc>
        <w:tc>
          <w:tcPr>
            <w:tcW w:w="558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预期目标</w:t>
            </w:r>
          </w:p>
        </w:tc>
        <w:tc>
          <w:tcPr>
            <w:tcW w:w="36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实际完成情况</w:t>
            </w:r>
          </w:p>
        </w:tc>
      </w:tr>
      <w:tr>
        <w:tblPrEx>
          <w:tblCellMar>
            <w:top w:w="0" w:type="dxa"/>
            <w:left w:w="108" w:type="dxa"/>
            <w:bottom w:w="0" w:type="dxa"/>
            <w:right w:w="108" w:type="dxa"/>
          </w:tblCellMar>
        </w:tblPrEx>
        <w:trPr>
          <w:trHeight w:val="1582" w:hRule="exact"/>
        </w:trPr>
        <w:tc>
          <w:tcPr>
            <w:tcW w:w="640"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p>
        </w:tc>
        <w:tc>
          <w:tcPr>
            <w:tcW w:w="5586" w:type="dxa"/>
            <w:gridSpan w:val="5"/>
            <w:tcBorders>
              <w:top w:val="single" w:color="auto" w:sz="4" w:space="0"/>
              <w:left w:val="nil"/>
              <w:bottom w:val="single" w:color="auto" w:sz="4" w:space="0"/>
              <w:right w:val="single" w:color="auto" w:sz="4" w:space="0"/>
            </w:tcBorders>
            <w:vAlign w:val="center"/>
          </w:tcPr>
          <w:p>
            <w:pPr>
              <w:ind w:firstLine="360" w:firstLineChars="200"/>
              <w:jc w:val="center"/>
              <w:rPr>
                <w:rFonts w:hint="eastAsia" w:ascii="仿宋" w:hAnsi="仿宋" w:eastAsia="仿宋" w:cs="仿宋"/>
                <w:bCs/>
                <w:color w:val="000000" w:themeColor="text1"/>
                <w:kern w:val="0"/>
                <w:sz w:val="18"/>
                <w:szCs w:val="18"/>
                <w:lang w:eastAsia="zh-CN"/>
                <w14:textFill>
                  <w14:solidFill>
                    <w14:schemeClr w14:val="tx1"/>
                  </w14:solidFill>
                </w14:textFill>
              </w:rPr>
            </w:pPr>
            <w:r>
              <w:rPr>
                <w:rFonts w:hint="eastAsia" w:ascii="仿宋" w:hAnsi="仿宋" w:eastAsia="仿宋" w:cs="仿宋"/>
                <w:sz w:val="18"/>
                <w:szCs w:val="18"/>
              </w:rPr>
              <w:t>通过采购</w:t>
            </w:r>
            <w:r>
              <w:rPr>
                <w:rFonts w:hint="eastAsia" w:ascii="仿宋" w:hAnsi="仿宋" w:eastAsia="仿宋" w:cs="仿宋"/>
                <w:sz w:val="18"/>
                <w:szCs w:val="18"/>
                <w:lang w:eastAsia="zh-CN"/>
              </w:rPr>
              <w:t>光纤</w:t>
            </w:r>
            <w:r>
              <w:rPr>
                <w:rFonts w:hint="eastAsia" w:ascii="仿宋" w:hAnsi="仿宋" w:eastAsia="仿宋" w:cs="仿宋"/>
                <w:sz w:val="18"/>
                <w:szCs w:val="18"/>
              </w:rPr>
              <w:t>网络专线、监控</w:t>
            </w:r>
            <w:r>
              <w:rPr>
                <w:rFonts w:hint="eastAsia" w:ascii="仿宋" w:hAnsi="仿宋" w:eastAsia="仿宋" w:cs="仿宋"/>
                <w:sz w:val="18"/>
                <w:szCs w:val="18"/>
                <w:lang w:eastAsia="zh-CN"/>
              </w:rPr>
              <w:t>设备</w:t>
            </w:r>
            <w:r>
              <w:rPr>
                <w:rFonts w:hint="eastAsia" w:ascii="仿宋" w:hAnsi="仿宋" w:eastAsia="仿宋" w:cs="仿宋"/>
                <w:sz w:val="18"/>
                <w:szCs w:val="18"/>
              </w:rPr>
              <w:t>，</w:t>
            </w:r>
            <w:r>
              <w:rPr>
                <w:rFonts w:hint="eastAsia" w:ascii="仿宋" w:hAnsi="仿宋" w:eastAsia="仿宋" w:cs="仿宋"/>
                <w:sz w:val="18"/>
                <w:szCs w:val="18"/>
                <w:lang w:eastAsia="zh-CN"/>
              </w:rPr>
              <w:t>为</w:t>
            </w:r>
            <w:r>
              <w:rPr>
                <w:rFonts w:hint="eastAsia" w:ascii="仿宋" w:hAnsi="仿宋" w:eastAsia="仿宋" w:cs="仿宋"/>
                <w:sz w:val="18"/>
                <w:szCs w:val="18"/>
              </w:rPr>
              <w:t>不动产登记窗口提供</w:t>
            </w:r>
            <w:r>
              <w:rPr>
                <w:rFonts w:hint="eastAsia" w:ascii="仿宋" w:hAnsi="仿宋" w:eastAsia="仿宋" w:cs="仿宋"/>
                <w:sz w:val="18"/>
                <w:szCs w:val="18"/>
                <w:lang w:eastAsia="zh-CN"/>
              </w:rPr>
              <w:t>了</w:t>
            </w:r>
            <w:r>
              <w:rPr>
                <w:rFonts w:hint="eastAsia" w:ascii="仿宋" w:hAnsi="仿宋" w:eastAsia="仿宋" w:cs="仿宋"/>
                <w:sz w:val="18"/>
                <w:szCs w:val="18"/>
              </w:rPr>
              <w:t>强有力的设备和信息技术保障，</w:t>
            </w:r>
            <w:r>
              <w:rPr>
                <w:rFonts w:hint="eastAsia" w:ascii="仿宋" w:hAnsi="仿宋" w:eastAsia="仿宋" w:cs="仿宋"/>
                <w:sz w:val="18"/>
                <w:szCs w:val="18"/>
                <w:lang w:eastAsia="zh-CN"/>
              </w:rPr>
              <w:t>进一步</w:t>
            </w:r>
            <w:r>
              <w:rPr>
                <w:rFonts w:hint="eastAsia" w:ascii="仿宋" w:hAnsi="仿宋" w:eastAsia="仿宋" w:cs="仿宋"/>
                <w:sz w:val="18"/>
                <w:szCs w:val="18"/>
              </w:rPr>
              <w:t>提高不动产登记窗口的业务办理</w:t>
            </w:r>
            <w:r>
              <w:rPr>
                <w:rFonts w:hint="eastAsia" w:ascii="仿宋" w:hAnsi="仿宋" w:eastAsia="仿宋" w:cs="仿宋"/>
                <w:sz w:val="18"/>
                <w:szCs w:val="18"/>
                <w:lang w:eastAsia="zh-CN"/>
              </w:rPr>
              <w:t>水平</w:t>
            </w:r>
            <w:r>
              <w:rPr>
                <w:rFonts w:hint="eastAsia" w:ascii="仿宋" w:hAnsi="仿宋" w:eastAsia="仿宋" w:cs="仿宋"/>
                <w:sz w:val="18"/>
                <w:szCs w:val="18"/>
              </w:rPr>
              <w:t>，使得群众在不动产登记</w:t>
            </w:r>
            <w:r>
              <w:rPr>
                <w:rFonts w:hint="eastAsia" w:ascii="仿宋" w:hAnsi="仿宋" w:eastAsia="仿宋" w:cs="仿宋"/>
                <w:sz w:val="18"/>
                <w:szCs w:val="18"/>
                <w:lang w:val="en-US" w:eastAsia="zh-CN"/>
              </w:rPr>
              <w:t>业务办理</w:t>
            </w:r>
            <w:r>
              <w:rPr>
                <w:rFonts w:hint="eastAsia" w:ascii="仿宋" w:hAnsi="仿宋" w:eastAsia="仿宋" w:cs="仿宋"/>
                <w:sz w:val="18"/>
                <w:szCs w:val="18"/>
              </w:rPr>
              <w:t>中享受到更</w:t>
            </w:r>
            <w:r>
              <w:rPr>
                <w:rFonts w:hint="eastAsia" w:ascii="仿宋" w:hAnsi="仿宋" w:eastAsia="仿宋" w:cs="仿宋"/>
                <w:sz w:val="18"/>
                <w:szCs w:val="18"/>
                <w:lang w:eastAsia="zh-CN"/>
              </w:rPr>
              <w:t>为</w:t>
            </w:r>
            <w:r>
              <w:rPr>
                <w:rFonts w:hint="eastAsia" w:ascii="仿宋" w:hAnsi="仿宋" w:eastAsia="仿宋" w:cs="仿宋"/>
                <w:sz w:val="18"/>
                <w:szCs w:val="18"/>
              </w:rPr>
              <w:t>便捷、高效的服务。</w:t>
            </w:r>
          </w:p>
          <w:p>
            <w:pPr>
              <w:widowControl/>
              <w:spacing w:line="240" w:lineRule="exact"/>
              <w:jc w:val="center"/>
              <w:rPr>
                <w:rFonts w:hint="eastAsia" w:ascii="仿宋" w:hAnsi="仿宋" w:eastAsia="仿宋" w:cs="仿宋"/>
                <w:kern w:val="0"/>
                <w:sz w:val="18"/>
                <w:szCs w:val="18"/>
              </w:rPr>
            </w:pPr>
          </w:p>
        </w:tc>
        <w:tc>
          <w:tcPr>
            <w:tcW w:w="3628" w:type="dxa"/>
            <w:gridSpan w:val="7"/>
            <w:tcBorders>
              <w:top w:val="single" w:color="auto" w:sz="4" w:space="0"/>
              <w:left w:val="nil"/>
              <w:bottom w:val="single" w:color="auto" w:sz="4" w:space="0"/>
              <w:right w:val="single" w:color="auto" w:sz="4" w:space="0"/>
            </w:tcBorders>
            <w:vAlign w:val="center"/>
          </w:tcPr>
          <w:p>
            <w:pPr>
              <w:ind w:firstLine="360" w:firstLineChars="200"/>
              <w:jc w:val="center"/>
              <w:rPr>
                <w:rFonts w:hint="eastAsia" w:ascii="仿宋" w:hAnsi="仿宋" w:eastAsia="仿宋" w:cs="仿宋"/>
                <w:bCs/>
                <w:color w:val="000000" w:themeColor="text1"/>
                <w:kern w:val="0"/>
                <w:sz w:val="18"/>
                <w:szCs w:val="18"/>
                <w:lang w:eastAsia="zh-CN"/>
                <w14:textFill>
                  <w14:solidFill>
                    <w14:schemeClr w14:val="tx1"/>
                  </w14:solidFill>
                </w14:textFill>
              </w:rPr>
            </w:pPr>
            <w:r>
              <w:rPr>
                <w:rFonts w:hint="eastAsia" w:ascii="仿宋" w:hAnsi="仿宋" w:eastAsia="仿宋" w:cs="仿宋"/>
                <w:sz w:val="18"/>
                <w:szCs w:val="18"/>
              </w:rPr>
              <w:t>通过采购</w:t>
            </w:r>
            <w:r>
              <w:rPr>
                <w:rFonts w:hint="eastAsia" w:ascii="仿宋" w:hAnsi="仿宋" w:eastAsia="仿宋" w:cs="仿宋"/>
                <w:sz w:val="18"/>
                <w:szCs w:val="18"/>
                <w:lang w:eastAsia="zh-CN"/>
              </w:rPr>
              <w:t>光纤</w:t>
            </w:r>
            <w:r>
              <w:rPr>
                <w:rFonts w:hint="eastAsia" w:ascii="仿宋" w:hAnsi="仿宋" w:eastAsia="仿宋" w:cs="仿宋"/>
                <w:sz w:val="18"/>
                <w:szCs w:val="18"/>
              </w:rPr>
              <w:t>网络专线、监控</w:t>
            </w:r>
            <w:r>
              <w:rPr>
                <w:rFonts w:hint="eastAsia" w:ascii="仿宋" w:hAnsi="仿宋" w:eastAsia="仿宋" w:cs="仿宋"/>
                <w:sz w:val="18"/>
                <w:szCs w:val="18"/>
                <w:lang w:eastAsia="zh-CN"/>
              </w:rPr>
              <w:t>设备</w:t>
            </w:r>
            <w:r>
              <w:rPr>
                <w:rFonts w:hint="eastAsia" w:ascii="仿宋" w:hAnsi="仿宋" w:eastAsia="仿宋" w:cs="仿宋"/>
                <w:sz w:val="18"/>
                <w:szCs w:val="18"/>
              </w:rPr>
              <w:t>，</w:t>
            </w:r>
            <w:r>
              <w:rPr>
                <w:rFonts w:hint="eastAsia" w:ascii="仿宋" w:hAnsi="仿宋" w:eastAsia="仿宋" w:cs="仿宋"/>
                <w:sz w:val="18"/>
                <w:szCs w:val="18"/>
                <w:lang w:eastAsia="zh-CN"/>
              </w:rPr>
              <w:t>为</w:t>
            </w:r>
            <w:r>
              <w:rPr>
                <w:rFonts w:hint="eastAsia" w:ascii="仿宋" w:hAnsi="仿宋" w:eastAsia="仿宋" w:cs="仿宋"/>
                <w:sz w:val="18"/>
                <w:szCs w:val="18"/>
              </w:rPr>
              <w:t>不动产登记窗口提供</w:t>
            </w:r>
            <w:r>
              <w:rPr>
                <w:rFonts w:hint="eastAsia" w:ascii="仿宋" w:hAnsi="仿宋" w:eastAsia="仿宋" w:cs="仿宋"/>
                <w:sz w:val="18"/>
                <w:szCs w:val="18"/>
                <w:lang w:eastAsia="zh-CN"/>
              </w:rPr>
              <w:t>了</w:t>
            </w:r>
            <w:r>
              <w:rPr>
                <w:rFonts w:hint="eastAsia" w:ascii="仿宋" w:hAnsi="仿宋" w:eastAsia="仿宋" w:cs="仿宋"/>
                <w:sz w:val="18"/>
                <w:szCs w:val="18"/>
              </w:rPr>
              <w:t>强有力的设备和信息技术保障，</w:t>
            </w:r>
            <w:r>
              <w:rPr>
                <w:rFonts w:hint="eastAsia" w:ascii="仿宋" w:hAnsi="仿宋" w:eastAsia="仿宋" w:cs="仿宋"/>
                <w:sz w:val="18"/>
                <w:szCs w:val="18"/>
                <w:lang w:eastAsia="zh-CN"/>
              </w:rPr>
              <w:t>进一步</w:t>
            </w:r>
            <w:r>
              <w:rPr>
                <w:rFonts w:hint="eastAsia" w:ascii="仿宋" w:hAnsi="仿宋" w:eastAsia="仿宋" w:cs="仿宋"/>
                <w:sz w:val="18"/>
                <w:szCs w:val="18"/>
              </w:rPr>
              <w:t>提高不动产登记窗口的业务办理</w:t>
            </w:r>
            <w:r>
              <w:rPr>
                <w:rFonts w:hint="eastAsia" w:ascii="仿宋" w:hAnsi="仿宋" w:eastAsia="仿宋" w:cs="仿宋"/>
                <w:sz w:val="18"/>
                <w:szCs w:val="18"/>
                <w:lang w:eastAsia="zh-CN"/>
              </w:rPr>
              <w:t>水平</w:t>
            </w:r>
            <w:r>
              <w:rPr>
                <w:rFonts w:hint="eastAsia" w:ascii="仿宋" w:hAnsi="仿宋" w:eastAsia="仿宋" w:cs="仿宋"/>
                <w:sz w:val="18"/>
                <w:szCs w:val="18"/>
              </w:rPr>
              <w:t>，使得群众在不动产登记</w:t>
            </w:r>
            <w:r>
              <w:rPr>
                <w:rFonts w:hint="eastAsia" w:ascii="仿宋" w:hAnsi="仿宋" w:eastAsia="仿宋" w:cs="仿宋"/>
                <w:sz w:val="18"/>
                <w:szCs w:val="18"/>
                <w:lang w:val="en-US" w:eastAsia="zh-CN"/>
              </w:rPr>
              <w:t>业务办理</w:t>
            </w:r>
            <w:r>
              <w:rPr>
                <w:rFonts w:hint="eastAsia" w:ascii="仿宋" w:hAnsi="仿宋" w:eastAsia="仿宋" w:cs="仿宋"/>
                <w:sz w:val="18"/>
                <w:szCs w:val="18"/>
              </w:rPr>
              <w:t>中享受到更</w:t>
            </w:r>
            <w:r>
              <w:rPr>
                <w:rFonts w:hint="eastAsia" w:ascii="仿宋" w:hAnsi="仿宋" w:eastAsia="仿宋" w:cs="仿宋"/>
                <w:sz w:val="18"/>
                <w:szCs w:val="18"/>
                <w:lang w:eastAsia="zh-CN"/>
              </w:rPr>
              <w:t>为</w:t>
            </w:r>
            <w:r>
              <w:rPr>
                <w:rFonts w:hint="eastAsia" w:ascii="仿宋" w:hAnsi="仿宋" w:eastAsia="仿宋" w:cs="仿宋"/>
                <w:sz w:val="18"/>
                <w:szCs w:val="18"/>
              </w:rPr>
              <w:t>便捷、高效的服务。</w:t>
            </w:r>
          </w:p>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758" w:hRule="exact"/>
        </w:trPr>
        <w:tc>
          <w:tcPr>
            <w:tcW w:w="640" w:type="dxa"/>
            <w:vMerge w:val="restart"/>
            <w:tcBorders>
              <w:top w:val="nil"/>
              <w:left w:val="single" w:color="auto" w:sz="4" w:space="0"/>
              <w:bottom w:val="nil"/>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64" w:type="dxa"/>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一级指标</w:t>
            </w:r>
          </w:p>
        </w:tc>
        <w:tc>
          <w:tcPr>
            <w:tcW w:w="1206" w:type="dxa"/>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二级指标</w:t>
            </w:r>
          </w:p>
        </w:tc>
        <w:tc>
          <w:tcPr>
            <w:tcW w:w="2116" w:type="dxa"/>
            <w:gridSpan w:val="2"/>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三级指标</w:t>
            </w:r>
          </w:p>
        </w:tc>
        <w:tc>
          <w:tcPr>
            <w:tcW w:w="1200" w:type="dxa"/>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w:t>
            </w:r>
          </w:p>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指标值</w:t>
            </w:r>
          </w:p>
        </w:tc>
        <w:tc>
          <w:tcPr>
            <w:tcW w:w="1020" w:type="dxa"/>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实际</w:t>
            </w:r>
          </w:p>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完成值</w:t>
            </w:r>
          </w:p>
        </w:tc>
        <w:tc>
          <w:tcPr>
            <w:tcW w:w="646" w:type="dxa"/>
            <w:gridSpan w:val="2"/>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分值</w:t>
            </w:r>
          </w:p>
        </w:tc>
        <w:tc>
          <w:tcPr>
            <w:tcW w:w="542" w:type="dxa"/>
            <w:gridSpan w:val="2"/>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得分</w:t>
            </w:r>
          </w:p>
        </w:tc>
        <w:tc>
          <w:tcPr>
            <w:tcW w:w="1420" w:type="dxa"/>
            <w:gridSpan w:val="2"/>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偏差原因分析及改进措施</w:t>
            </w:r>
          </w:p>
        </w:tc>
      </w:tr>
      <w:tr>
        <w:tblPrEx>
          <w:tblCellMar>
            <w:top w:w="0" w:type="dxa"/>
            <w:left w:w="108" w:type="dxa"/>
            <w:bottom w:w="0" w:type="dxa"/>
            <w:right w:w="108" w:type="dxa"/>
          </w:tblCellMar>
        </w:tblPrEx>
        <w:trPr>
          <w:trHeight w:val="774" w:hRule="atLeast"/>
        </w:trPr>
        <w:tc>
          <w:tcPr>
            <w:tcW w:w="640" w:type="dxa"/>
            <w:vMerge w:val="continue"/>
            <w:tcBorders>
              <w:top w:val="nil"/>
              <w:left w:val="single" w:color="auto" w:sz="4" w:space="0"/>
              <w:bottom w:val="nil"/>
              <w:right w:val="single" w:color="auto" w:sz="4" w:space="0"/>
            </w:tcBorders>
            <w:vAlign w:val="center"/>
          </w:tcPr>
          <w:p>
            <w:pPr>
              <w:widowControl/>
              <w:jc w:val="center"/>
              <w:rPr>
                <w:rFonts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产出指标</w:t>
            </w:r>
          </w:p>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（50分）</w:t>
            </w:r>
          </w:p>
        </w:tc>
        <w:tc>
          <w:tcPr>
            <w:tcW w:w="1206" w:type="dxa"/>
            <w:vMerge w:val="restart"/>
            <w:tcBorders>
              <w:top w:val="nil"/>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数量指标</w:t>
            </w:r>
          </w:p>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（20分）</w:t>
            </w:r>
          </w:p>
        </w:tc>
        <w:tc>
          <w:tcPr>
            <w:tcW w:w="2116" w:type="dxa"/>
            <w:gridSpan w:val="2"/>
            <w:tcBorders>
              <w:top w:val="single" w:color="auto" w:sz="4" w:space="0"/>
              <w:left w:val="nil"/>
              <w:bottom w:val="nil"/>
              <w:right w:val="single" w:color="auto" w:sz="4" w:space="0"/>
            </w:tcBorders>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1、2019年分窗口所需使用的存储硬盘个数</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tabs>
                <w:tab w:val="left" w:pos="327"/>
              </w:tabs>
              <w:spacing w:line="240" w:lineRule="exact"/>
              <w:ind w:left="0" w:leftChars="0" w:firstLine="0" w:firstLineChars="0"/>
              <w:jc w:val="center"/>
              <w:rPr>
                <w:rFonts w:ascii="仿宋" w:hAnsi="仿宋" w:eastAsia="仿宋" w:cs="仿宋"/>
                <w:kern w:val="0"/>
                <w:sz w:val="18"/>
                <w:szCs w:val="18"/>
              </w:rPr>
            </w:pPr>
            <w:r>
              <w:rPr>
                <w:rFonts w:hint="eastAsia" w:ascii="仿宋" w:hAnsi="仿宋" w:eastAsia="仿宋" w:cs="仿宋"/>
                <w:kern w:val="0"/>
                <w:sz w:val="18"/>
                <w:szCs w:val="18"/>
              </w:rPr>
              <w:t>≥30个</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kern w:val="0"/>
                <w:sz w:val="18"/>
                <w:szCs w:val="18"/>
              </w:rPr>
            </w:pPr>
            <w:r>
              <w:rPr>
                <w:rFonts w:hint="eastAsia" w:ascii="仿宋" w:hAnsi="仿宋" w:eastAsia="仿宋" w:cs="仿宋"/>
                <w:kern w:val="0"/>
                <w:sz w:val="18"/>
                <w:szCs w:val="18"/>
              </w:rPr>
              <w:t>35个</w:t>
            </w:r>
          </w:p>
        </w:tc>
        <w:tc>
          <w:tcPr>
            <w:tcW w:w="6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kern w:val="0"/>
                <w:sz w:val="18"/>
                <w:szCs w:val="18"/>
              </w:rPr>
            </w:pPr>
            <w:r>
              <w:rPr>
                <w:rFonts w:hint="eastAsia" w:ascii="仿宋" w:hAnsi="仿宋" w:eastAsia="仿宋" w:cs="仿宋"/>
                <w:kern w:val="0"/>
                <w:sz w:val="18"/>
                <w:szCs w:val="18"/>
              </w:rPr>
              <w:t>10</w:t>
            </w:r>
          </w:p>
        </w:tc>
        <w:tc>
          <w:tcPr>
            <w:tcW w:w="54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kern w:val="0"/>
                <w:sz w:val="18"/>
                <w:szCs w:val="18"/>
              </w:rPr>
            </w:pPr>
            <w:r>
              <w:rPr>
                <w:rFonts w:hint="eastAsia" w:ascii="仿宋" w:hAnsi="仿宋" w:eastAsia="仿宋" w:cs="仿宋"/>
                <w:kern w:val="0"/>
                <w:sz w:val="18"/>
                <w:szCs w:val="18"/>
              </w:rPr>
              <w:t>20</w:t>
            </w:r>
          </w:p>
        </w:tc>
        <w:tc>
          <w:tcPr>
            <w:tcW w:w="1420" w:type="dxa"/>
            <w:gridSpan w:val="2"/>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615" w:hRule="atLeast"/>
        </w:trPr>
        <w:tc>
          <w:tcPr>
            <w:tcW w:w="640" w:type="dxa"/>
            <w:vMerge w:val="continue"/>
            <w:tcBorders>
              <w:top w:val="nil"/>
              <w:left w:val="single" w:color="auto" w:sz="4" w:space="0"/>
              <w:bottom w:val="nil"/>
              <w:right w:val="single" w:color="auto" w:sz="4" w:space="0"/>
            </w:tcBorders>
            <w:vAlign w:val="center"/>
          </w:tcPr>
          <w:p>
            <w:pPr>
              <w:widowControl/>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p>
        </w:tc>
        <w:tc>
          <w:tcPr>
            <w:tcW w:w="120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p>
        </w:tc>
        <w:tc>
          <w:tcPr>
            <w:tcW w:w="2116" w:type="dxa"/>
            <w:gridSpan w:val="2"/>
            <w:tcBorders>
              <w:top w:val="single" w:color="auto" w:sz="4" w:space="0"/>
              <w:left w:val="nil"/>
              <w:bottom w:val="nil"/>
              <w:right w:val="single" w:color="auto" w:sz="4" w:space="0"/>
            </w:tcBorders>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2、连接分窗口网络网络专线</w:t>
            </w:r>
          </w:p>
        </w:tc>
        <w:tc>
          <w:tcPr>
            <w:tcW w:w="1200" w:type="dxa"/>
            <w:tcBorders>
              <w:top w:val="single" w:color="auto" w:sz="4" w:space="0"/>
              <w:left w:val="nil"/>
              <w:bottom w:val="nil"/>
              <w:right w:val="single" w:color="auto" w:sz="4" w:space="0"/>
            </w:tcBorders>
            <w:vAlign w:val="center"/>
          </w:tcPr>
          <w:p>
            <w:pPr>
              <w:widowControl/>
              <w:spacing w:line="240" w:lineRule="exact"/>
              <w:ind w:left="0" w:leftChars="0" w:firstLine="0"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4根</w:t>
            </w:r>
          </w:p>
        </w:tc>
        <w:tc>
          <w:tcPr>
            <w:tcW w:w="1020" w:type="dxa"/>
            <w:tcBorders>
              <w:top w:val="single" w:color="auto" w:sz="4" w:space="0"/>
              <w:left w:val="nil"/>
              <w:bottom w:val="nil"/>
              <w:right w:val="single" w:color="auto" w:sz="4" w:space="0"/>
            </w:tcBorders>
            <w:vAlign w:val="center"/>
          </w:tcPr>
          <w:p>
            <w:pPr>
              <w:widowControl/>
              <w:spacing w:line="240" w:lineRule="exact"/>
              <w:ind w:left="0" w:leftChars="0" w:firstLine="0"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4根</w:t>
            </w:r>
          </w:p>
        </w:tc>
        <w:tc>
          <w:tcPr>
            <w:tcW w:w="646" w:type="dxa"/>
            <w:gridSpan w:val="2"/>
            <w:tcBorders>
              <w:top w:val="single" w:color="auto" w:sz="4" w:space="0"/>
              <w:left w:val="nil"/>
              <w:bottom w:val="nil"/>
              <w:right w:val="single" w:color="auto" w:sz="4" w:space="0"/>
            </w:tcBorders>
            <w:vAlign w:val="center"/>
          </w:tcPr>
          <w:p>
            <w:pPr>
              <w:widowControl/>
              <w:spacing w:line="240" w:lineRule="exact"/>
              <w:ind w:left="0" w:leftChars="0" w:firstLine="0"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420" w:type="dxa"/>
            <w:gridSpan w:val="2"/>
            <w:vMerge w:val="continue"/>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593" w:hRule="atLeast"/>
        </w:trPr>
        <w:tc>
          <w:tcPr>
            <w:tcW w:w="640" w:type="dxa"/>
            <w:vMerge w:val="continue"/>
            <w:tcBorders>
              <w:top w:val="nil"/>
              <w:left w:val="single" w:color="auto" w:sz="4" w:space="0"/>
              <w:bottom w:val="nil"/>
              <w:right w:val="single" w:color="auto" w:sz="4" w:space="0"/>
            </w:tcBorders>
            <w:vAlign w:val="center"/>
          </w:tcPr>
          <w:p>
            <w:pPr>
              <w:widowControl/>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p>
        </w:tc>
        <w:tc>
          <w:tcPr>
            <w:tcW w:w="1206" w:type="dxa"/>
            <w:vMerge w:val="restart"/>
            <w:tcBorders>
              <w:top w:val="nil"/>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质量指标</w:t>
            </w:r>
          </w:p>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（15分）</w:t>
            </w:r>
          </w:p>
        </w:tc>
        <w:tc>
          <w:tcPr>
            <w:tcW w:w="2116" w:type="dxa"/>
            <w:gridSpan w:val="2"/>
            <w:tcBorders>
              <w:top w:val="single" w:color="auto" w:sz="4" w:space="0"/>
              <w:left w:val="nil"/>
              <w:bottom w:val="nil"/>
              <w:right w:val="single" w:color="auto" w:sz="4" w:space="0"/>
            </w:tcBorders>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1、硬盘存储性能</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kern w:val="0"/>
                <w:sz w:val="18"/>
                <w:szCs w:val="18"/>
              </w:rPr>
            </w:pPr>
            <w:r>
              <w:rPr>
                <w:rFonts w:hint="eastAsia" w:ascii="仿宋" w:hAnsi="仿宋" w:eastAsia="仿宋" w:cs="仿宋"/>
                <w:kern w:val="0"/>
                <w:sz w:val="18"/>
                <w:szCs w:val="18"/>
              </w:rPr>
              <w:t>≥160TB</w:t>
            </w:r>
          </w:p>
        </w:tc>
        <w:tc>
          <w:tcPr>
            <w:tcW w:w="1020" w:type="dxa"/>
            <w:tcBorders>
              <w:top w:val="single" w:color="auto" w:sz="4" w:space="0"/>
              <w:left w:val="nil"/>
              <w:bottom w:val="single" w:color="auto" w:sz="4" w:space="0"/>
              <w:right w:val="single" w:color="auto" w:sz="4" w:space="0"/>
            </w:tcBorders>
            <w:vAlign w:val="center"/>
          </w:tcPr>
          <w:p>
            <w:pPr>
              <w:widowControl/>
              <w:tabs>
                <w:tab w:val="left" w:pos="226"/>
              </w:tabs>
              <w:spacing w:line="240" w:lineRule="exact"/>
              <w:ind w:left="0" w:leftChars="0" w:firstLine="0" w:firstLineChars="0"/>
              <w:jc w:val="center"/>
              <w:rPr>
                <w:rFonts w:ascii="仿宋" w:hAnsi="仿宋" w:eastAsia="仿宋" w:cs="仿宋"/>
                <w:kern w:val="0"/>
                <w:sz w:val="18"/>
                <w:szCs w:val="18"/>
              </w:rPr>
            </w:pPr>
            <w:r>
              <w:rPr>
                <w:rFonts w:hint="eastAsia" w:ascii="仿宋" w:hAnsi="仿宋" w:eastAsia="仿宋" w:cs="仿宋"/>
                <w:kern w:val="0"/>
                <w:sz w:val="18"/>
                <w:szCs w:val="18"/>
              </w:rPr>
              <w:t>≥160TB</w:t>
            </w:r>
          </w:p>
        </w:tc>
        <w:tc>
          <w:tcPr>
            <w:tcW w:w="6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7.5</w:t>
            </w:r>
          </w:p>
        </w:tc>
        <w:tc>
          <w:tcPr>
            <w:tcW w:w="542" w:type="dxa"/>
            <w:gridSpan w:val="2"/>
            <w:vMerge w:val="restart"/>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kern w:val="0"/>
                <w:sz w:val="18"/>
                <w:szCs w:val="18"/>
              </w:rPr>
            </w:pPr>
            <w:r>
              <w:rPr>
                <w:rFonts w:hint="eastAsia" w:ascii="仿宋" w:hAnsi="仿宋" w:eastAsia="仿宋" w:cs="仿宋"/>
                <w:kern w:val="0"/>
                <w:sz w:val="18"/>
                <w:szCs w:val="18"/>
              </w:rPr>
              <w:t>15</w:t>
            </w:r>
          </w:p>
        </w:tc>
        <w:tc>
          <w:tcPr>
            <w:tcW w:w="1420" w:type="dxa"/>
            <w:gridSpan w:val="2"/>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657" w:hRule="atLeast"/>
        </w:trPr>
        <w:tc>
          <w:tcPr>
            <w:tcW w:w="640" w:type="dxa"/>
            <w:vMerge w:val="continue"/>
            <w:tcBorders>
              <w:top w:val="nil"/>
              <w:left w:val="single" w:color="auto" w:sz="4" w:space="0"/>
              <w:bottom w:val="nil"/>
              <w:right w:val="single" w:color="auto" w:sz="4" w:space="0"/>
            </w:tcBorders>
            <w:vAlign w:val="center"/>
          </w:tcPr>
          <w:p>
            <w:pPr>
              <w:widowControl/>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p>
        </w:tc>
        <w:tc>
          <w:tcPr>
            <w:tcW w:w="120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p>
        </w:tc>
        <w:tc>
          <w:tcPr>
            <w:tcW w:w="21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2、分窗口网络专线宽带速率</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color w:val="000000"/>
                <w:kern w:val="0"/>
                <w:sz w:val="18"/>
                <w:szCs w:val="18"/>
              </w:rPr>
            </w:pPr>
            <w:r>
              <w:rPr>
                <w:rFonts w:hint="eastAsia" w:ascii="仿宋" w:hAnsi="仿宋" w:eastAsia="仿宋" w:cs="仿宋"/>
                <w:kern w:val="0"/>
                <w:sz w:val="18"/>
                <w:szCs w:val="18"/>
              </w:rPr>
              <w:t>≥20M</w:t>
            </w:r>
          </w:p>
        </w:tc>
        <w:tc>
          <w:tcPr>
            <w:tcW w:w="1020" w:type="dxa"/>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color w:val="000000"/>
                <w:kern w:val="0"/>
                <w:sz w:val="18"/>
                <w:szCs w:val="18"/>
              </w:rPr>
            </w:pPr>
            <w:r>
              <w:rPr>
                <w:rFonts w:hint="eastAsia" w:ascii="仿宋" w:hAnsi="仿宋" w:eastAsia="仿宋" w:cs="仿宋"/>
                <w:kern w:val="0"/>
                <w:sz w:val="18"/>
                <w:szCs w:val="18"/>
              </w:rPr>
              <w:t>≥20M</w:t>
            </w:r>
          </w:p>
        </w:tc>
        <w:tc>
          <w:tcPr>
            <w:tcW w:w="646" w:type="dxa"/>
            <w:gridSpan w:val="2"/>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7.5</w:t>
            </w:r>
          </w:p>
        </w:tc>
        <w:tc>
          <w:tcPr>
            <w:tcW w:w="542" w:type="dxa"/>
            <w:gridSpan w:val="2"/>
            <w:vMerge w:val="continue"/>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420" w:type="dxa"/>
            <w:gridSpan w:val="2"/>
            <w:vMerge w:val="continue"/>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796" w:hRule="atLeast"/>
        </w:trPr>
        <w:tc>
          <w:tcPr>
            <w:tcW w:w="640" w:type="dxa"/>
            <w:vMerge w:val="continue"/>
            <w:tcBorders>
              <w:top w:val="nil"/>
              <w:left w:val="single" w:color="auto" w:sz="4" w:space="0"/>
              <w:bottom w:val="nil"/>
              <w:right w:val="single" w:color="auto" w:sz="4" w:space="0"/>
            </w:tcBorders>
            <w:vAlign w:val="center"/>
          </w:tcPr>
          <w:p>
            <w:pPr>
              <w:widowControl/>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时效指标</w:t>
            </w:r>
          </w:p>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（5分）</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sz w:val="18"/>
                <w:szCs w:val="18"/>
              </w:rPr>
              <w:t>完成监控硬盘和网络专线政府采购流程并投入使用时限</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2019.10</w:t>
            </w:r>
          </w:p>
        </w:tc>
        <w:tc>
          <w:tcPr>
            <w:tcW w:w="1020" w:type="dxa"/>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2019.10</w:t>
            </w:r>
          </w:p>
        </w:tc>
        <w:tc>
          <w:tcPr>
            <w:tcW w:w="646" w:type="dxa"/>
            <w:gridSpan w:val="2"/>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542" w:type="dxa"/>
            <w:gridSpan w:val="2"/>
            <w:tcBorders>
              <w:top w:val="single" w:color="auto" w:sz="4" w:space="0"/>
              <w:left w:val="nil"/>
              <w:bottom w:val="nil"/>
              <w:right w:val="single" w:color="auto" w:sz="4" w:space="0"/>
            </w:tcBorders>
            <w:vAlign w:val="center"/>
          </w:tcPr>
          <w:p>
            <w:pPr>
              <w:widowControl/>
              <w:spacing w:line="240" w:lineRule="exact"/>
              <w:ind w:left="0" w:leftChars="0" w:firstLine="0" w:firstLineChars="0"/>
              <w:jc w:val="center"/>
              <w:rPr>
                <w:rFonts w:ascii="仿宋" w:hAnsi="仿宋" w:eastAsia="仿宋" w:cs="仿宋"/>
                <w:kern w:val="0"/>
                <w:sz w:val="18"/>
                <w:szCs w:val="18"/>
              </w:rPr>
            </w:pPr>
            <w:r>
              <w:rPr>
                <w:rFonts w:hint="eastAsia" w:ascii="仿宋" w:hAnsi="仿宋" w:eastAsia="仿宋" w:cs="仿宋"/>
                <w:kern w:val="0"/>
                <w:sz w:val="18"/>
                <w:szCs w:val="18"/>
              </w:rPr>
              <w:t>5</w:t>
            </w:r>
          </w:p>
        </w:tc>
        <w:tc>
          <w:tcPr>
            <w:tcW w:w="1420" w:type="dxa"/>
            <w:gridSpan w:val="2"/>
            <w:tcBorders>
              <w:top w:val="single" w:color="auto" w:sz="4" w:space="0"/>
              <w:left w:val="nil"/>
              <w:bottom w:val="nil"/>
              <w:right w:val="single" w:color="auto" w:sz="4" w:space="0"/>
            </w:tcBorders>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508" w:hRule="atLeast"/>
        </w:trPr>
        <w:tc>
          <w:tcPr>
            <w:tcW w:w="640" w:type="dxa"/>
            <w:vMerge w:val="continue"/>
            <w:tcBorders>
              <w:top w:val="nil"/>
              <w:left w:val="single" w:color="auto" w:sz="4" w:space="0"/>
              <w:bottom w:val="nil"/>
              <w:right w:val="single" w:color="auto" w:sz="4" w:space="0"/>
            </w:tcBorders>
            <w:vAlign w:val="center"/>
          </w:tcPr>
          <w:p>
            <w:pPr>
              <w:widowControl/>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p>
        </w:tc>
        <w:tc>
          <w:tcPr>
            <w:tcW w:w="12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成本指标</w:t>
            </w:r>
          </w:p>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0分）</w:t>
            </w:r>
          </w:p>
        </w:tc>
        <w:tc>
          <w:tcPr>
            <w:tcW w:w="2116" w:type="dxa"/>
            <w:gridSpan w:val="2"/>
            <w:tcBorders>
              <w:top w:val="single" w:color="auto" w:sz="4" w:space="0"/>
              <w:left w:val="nil"/>
              <w:bottom w:val="nil"/>
              <w:right w:val="single" w:color="auto" w:sz="4" w:space="0"/>
            </w:tcBorders>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1、监控硬盘采购金额</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kern w:val="0"/>
                <w:sz w:val="18"/>
                <w:szCs w:val="18"/>
              </w:rPr>
            </w:pPr>
            <w:r>
              <w:rPr>
                <w:rFonts w:hint="eastAsia" w:ascii="仿宋" w:hAnsi="仿宋" w:eastAsia="仿宋" w:cs="仿宋"/>
                <w:color w:val="000000"/>
                <w:kern w:val="0"/>
                <w:sz w:val="18"/>
                <w:szCs w:val="18"/>
              </w:rPr>
              <w:t>≤6万元</w:t>
            </w:r>
          </w:p>
        </w:tc>
        <w:tc>
          <w:tcPr>
            <w:tcW w:w="1020" w:type="dxa"/>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kern w:val="0"/>
                <w:sz w:val="18"/>
                <w:szCs w:val="18"/>
              </w:rPr>
            </w:pPr>
            <w:r>
              <w:rPr>
                <w:rFonts w:hint="eastAsia" w:ascii="仿宋" w:hAnsi="仿宋" w:eastAsia="仿宋" w:cs="仿宋"/>
                <w:kern w:val="0"/>
                <w:sz w:val="18"/>
                <w:szCs w:val="18"/>
              </w:rPr>
              <w:t>5.8612万元</w:t>
            </w:r>
          </w:p>
        </w:tc>
        <w:tc>
          <w:tcPr>
            <w:tcW w:w="646" w:type="dxa"/>
            <w:gridSpan w:val="2"/>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542" w:type="dxa"/>
            <w:gridSpan w:val="2"/>
            <w:vMerge w:val="restart"/>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1420" w:type="dxa"/>
            <w:gridSpan w:val="2"/>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510" w:hRule="atLeast"/>
        </w:trPr>
        <w:tc>
          <w:tcPr>
            <w:tcW w:w="640" w:type="dxa"/>
            <w:vMerge w:val="continue"/>
            <w:tcBorders>
              <w:top w:val="nil"/>
              <w:left w:val="single" w:color="auto" w:sz="4" w:space="0"/>
              <w:bottom w:val="nil"/>
              <w:right w:val="single" w:color="auto" w:sz="4" w:space="0"/>
            </w:tcBorders>
            <w:vAlign w:val="center"/>
          </w:tcPr>
          <w:p>
            <w:pPr>
              <w:widowControl/>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p>
        </w:tc>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p>
        </w:tc>
        <w:tc>
          <w:tcPr>
            <w:tcW w:w="2116" w:type="dxa"/>
            <w:gridSpan w:val="2"/>
            <w:tcBorders>
              <w:top w:val="single" w:color="auto" w:sz="4" w:space="0"/>
              <w:left w:val="nil"/>
              <w:bottom w:val="nil"/>
              <w:right w:val="single" w:color="auto" w:sz="4" w:space="0"/>
            </w:tcBorders>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2、网络专线采购金额</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≤7.7万元</w:t>
            </w:r>
          </w:p>
        </w:tc>
        <w:tc>
          <w:tcPr>
            <w:tcW w:w="1020" w:type="dxa"/>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7.62万元</w:t>
            </w:r>
          </w:p>
        </w:tc>
        <w:tc>
          <w:tcPr>
            <w:tcW w:w="646" w:type="dxa"/>
            <w:gridSpan w:val="2"/>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5</w:t>
            </w:r>
          </w:p>
        </w:tc>
        <w:tc>
          <w:tcPr>
            <w:tcW w:w="542" w:type="dxa"/>
            <w:gridSpan w:val="2"/>
            <w:vMerge w:val="continue"/>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420" w:type="dxa"/>
            <w:gridSpan w:val="2"/>
            <w:vMerge w:val="continue"/>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648" w:hRule="exact"/>
        </w:trPr>
        <w:tc>
          <w:tcPr>
            <w:tcW w:w="640" w:type="dxa"/>
            <w:vMerge w:val="continue"/>
            <w:tcBorders>
              <w:top w:val="nil"/>
              <w:left w:val="single" w:color="auto" w:sz="4" w:space="0"/>
              <w:bottom w:val="nil"/>
              <w:right w:val="single" w:color="auto" w:sz="4" w:space="0"/>
            </w:tcBorders>
            <w:vAlign w:val="center"/>
          </w:tcPr>
          <w:p>
            <w:pPr>
              <w:widowControl/>
              <w:jc w:val="center"/>
              <w:rPr>
                <w:rFonts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效益指标</w:t>
            </w:r>
          </w:p>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3</w:t>
            </w:r>
            <w:r>
              <w:rPr>
                <w:rFonts w:hint="eastAsia" w:asciiTheme="minorEastAsia" w:hAnsiTheme="minorEastAsia" w:eastAsiaTheme="minorEastAsia" w:cstheme="minorEastAsia"/>
                <w:kern w:val="0"/>
                <w:sz w:val="21"/>
                <w:szCs w:val="21"/>
              </w:rPr>
              <w:t>0分）</w:t>
            </w: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经济效益</w:t>
            </w:r>
          </w:p>
          <w:p>
            <w:pPr>
              <w:widowControl/>
              <w:spacing w:line="240" w:lineRule="exact"/>
              <w:ind w:left="0" w:leftChars="0" w:firstLine="210" w:firstLineChars="10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w:t>
            </w:r>
          </w:p>
        </w:tc>
        <w:tc>
          <w:tcPr>
            <w:tcW w:w="2116" w:type="dxa"/>
            <w:gridSpan w:val="2"/>
            <w:tcBorders>
              <w:top w:val="single" w:color="auto" w:sz="4" w:space="0"/>
              <w:left w:val="nil"/>
              <w:bottom w:val="nil"/>
              <w:right w:val="single" w:color="auto" w:sz="4" w:space="0"/>
            </w:tcBorders>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w:t>
            </w:r>
          </w:p>
        </w:tc>
        <w:tc>
          <w:tcPr>
            <w:tcW w:w="10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w:t>
            </w:r>
          </w:p>
        </w:tc>
        <w:tc>
          <w:tcPr>
            <w:tcW w:w="6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w:t>
            </w:r>
          </w:p>
        </w:tc>
        <w:tc>
          <w:tcPr>
            <w:tcW w:w="5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w:t>
            </w:r>
          </w:p>
        </w:tc>
        <w:tc>
          <w:tcPr>
            <w:tcW w:w="14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59" w:hRule="atLeast"/>
        </w:trPr>
        <w:tc>
          <w:tcPr>
            <w:tcW w:w="640" w:type="dxa"/>
            <w:vMerge w:val="continue"/>
            <w:tcBorders>
              <w:top w:val="nil"/>
              <w:left w:val="single" w:color="auto" w:sz="4" w:space="0"/>
              <w:bottom w:val="nil"/>
              <w:right w:val="single" w:color="auto" w:sz="4" w:space="0"/>
            </w:tcBorders>
            <w:vAlign w:val="center"/>
          </w:tcPr>
          <w:p>
            <w:pPr>
              <w:widowControl/>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p>
        </w:tc>
        <w:tc>
          <w:tcPr>
            <w:tcW w:w="1206" w:type="dxa"/>
            <w:vMerge w:val="restart"/>
            <w:tcBorders>
              <w:top w:val="nil"/>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社会效益</w:t>
            </w:r>
          </w:p>
          <w:p>
            <w:pPr>
              <w:widowControl/>
              <w:spacing w:line="240" w:lineRule="exact"/>
              <w:ind w:left="0" w:leftChars="0" w:firstLine="210" w:firstLineChars="10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w:t>
            </w:r>
          </w:p>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rPr>
              <w:t>0分）</w:t>
            </w:r>
          </w:p>
        </w:tc>
        <w:tc>
          <w:tcPr>
            <w:tcW w:w="21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r>
              <w:rPr>
                <w:rFonts w:hint="eastAsia" w:ascii="仿宋" w:hAnsi="仿宋" w:eastAsia="仿宋"/>
                <w:sz w:val="18"/>
                <w:szCs w:val="18"/>
              </w:rPr>
              <w:t>监控硬盘设备存储了不动产登记窗口的监控视频，不动产登记窗口网络专线为四个城区提供网络应急备份的作用，从而保障了分窗口不动产登记业务的开展</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kern w:val="0"/>
                <w:sz w:val="18"/>
                <w:szCs w:val="18"/>
              </w:rPr>
            </w:pPr>
            <w:r>
              <w:rPr>
                <w:rFonts w:hint="eastAsia" w:ascii="仿宋" w:hAnsi="仿宋" w:eastAsia="仿宋" w:cs="仿宋"/>
                <w:kern w:val="0"/>
                <w:sz w:val="18"/>
                <w:szCs w:val="18"/>
              </w:rPr>
              <w:t>100%</w:t>
            </w:r>
          </w:p>
        </w:tc>
        <w:tc>
          <w:tcPr>
            <w:tcW w:w="1020" w:type="dxa"/>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kern w:val="0"/>
                <w:sz w:val="18"/>
                <w:szCs w:val="18"/>
              </w:rPr>
            </w:pPr>
            <w:r>
              <w:rPr>
                <w:rFonts w:hint="eastAsia" w:ascii="仿宋" w:hAnsi="仿宋" w:eastAsia="仿宋" w:cs="仿宋"/>
                <w:kern w:val="0"/>
                <w:sz w:val="18"/>
                <w:szCs w:val="18"/>
              </w:rPr>
              <w:t>100%</w:t>
            </w:r>
          </w:p>
        </w:tc>
        <w:tc>
          <w:tcPr>
            <w:tcW w:w="646" w:type="dxa"/>
            <w:gridSpan w:val="2"/>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542" w:type="dxa"/>
            <w:gridSpan w:val="2"/>
            <w:vMerge w:val="restart"/>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18</w:t>
            </w:r>
          </w:p>
        </w:tc>
        <w:tc>
          <w:tcPr>
            <w:tcW w:w="1420" w:type="dxa"/>
            <w:gridSpan w:val="2"/>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389" w:hRule="atLeast"/>
        </w:trPr>
        <w:tc>
          <w:tcPr>
            <w:tcW w:w="640" w:type="dxa"/>
            <w:vMerge w:val="continue"/>
            <w:tcBorders>
              <w:top w:val="nil"/>
              <w:left w:val="single" w:color="auto" w:sz="4" w:space="0"/>
              <w:bottom w:val="nil"/>
              <w:right w:val="single" w:color="auto" w:sz="4" w:space="0"/>
            </w:tcBorders>
            <w:vAlign w:val="center"/>
          </w:tcPr>
          <w:p>
            <w:pPr>
              <w:widowControl/>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p>
        </w:tc>
        <w:tc>
          <w:tcPr>
            <w:tcW w:w="1206"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p>
        </w:tc>
        <w:tc>
          <w:tcPr>
            <w:tcW w:w="21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2、不动产业务办理分窗口，减少办事群众反映业务办理等待时间，缓解不动产登记大楼业务压力</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default" w:ascii="仿宋" w:hAnsi="仿宋" w:eastAsia="仿宋" w:cs="仿宋"/>
                <w:color w:val="000000"/>
                <w:kern w:val="0"/>
                <w:sz w:val="18"/>
                <w:szCs w:val="18"/>
                <w:lang w:val="en-US" w:eastAsia="zh-CN"/>
              </w:rPr>
            </w:pPr>
            <w:r>
              <w:rPr>
                <w:rFonts w:hint="eastAsia" w:ascii="仿宋" w:hAnsi="仿宋" w:eastAsia="仿宋" w:cs="仿宋"/>
                <w:kern w:val="0"/>
                <w:sz w:val="18"/>
                <w:szCs w:val="18"/>
              </w:rPr>
              <w:t>≥60件</w:t>
            </w:r>
            <w:r>
              <w:rPr>
                <w:rFonts w:hint="eastAsia" w:ascii="仿宋" w:hAnsi="仿宋" w:eastAsia="仿宋" w:cs="仿宋"/>
                <w:kern w:val="0"/>
                <w:sz w:val="18"/>
                <w:szCs w:val="18"/>
                <w:lang w:val="en-US" w:eastAsia="zh-CN"/>
              </w:rPr>
              <w:t>/周</w:t>
            </w:r>
          </w:p>
        </w:tc>
        <w:tc>
          <w:tcPr>
            <w:tcW w:w="1020" w:type="dxa"/>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default" w:ascii="仿宋" w:hAnsi="仿宋" w:eastAsia="仿宋" w:cs="仿宋"/>
                <w:color w:val="000000"/>
                <w:kern w:val="0"/>
                <w:sz w:val="18"/>
                <w:szCs w:val="18"/>
                <w:lang w:val="en-US" w:eastAsia="zh-CN"/>
              </w:rPr>
            </w:pPr>
            <w:r>
              <w:rPr>
                <w:rFonts w:hint="eastAsia" w:ascii="仿宋" w:hAnsi="仿宋" w:eastAsia="仿宋" w:cs="仿宋"/>
                <w:kern w:val="0"/>
                <w:sz w:val="18"/>
                <w:szCs w:val="18"/>
              </w:rPr>
              <w:t>≥60件</w:t>
            </w:r>
            <w:r>
              <w:rPr>
                <w:rFonts w:hint="eastAsia" w:ascii="仿宋" w:hAnsi="仿宋" w:eastAsia="仿宋" w:cs="仿宋"/>
                <w:kern w:val="0"/>
                <w:sz w:val="18"/>
                <w:szCs w:val="18"/>
                <w:lang w:val="en-US" w:eastAsia="zh-CN"/>
              </w:rPr>
              <w:t>/周</w:t>
            </w:r>
          </w:p>
        </w:tc>
        <w:tc>
          <w:tcPr>
            <w:tcW w:w="646" w:type="dxa"/>
            <w:gridSpan w:val="2"/>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w:t>
            </w:r>
          </w:p>
        </w:tc>
        <w:tc>
          <w:tcPr>
            <w:tcW w:w="542" w:type="dxa"/>
            <w:gridSpan w:val="2"/>
            <w:vMerge w:val="continue"/>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420" w:type="dxa"/>
            <w:gridSpan w:val="2"/>
            <w:vMerge w:val="continue"/>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554" w:hRule="exact"/>
        </w:trPr>
        <w:tc>
          <w:tcPr>
            <w:tcW w:w="640" w:type="dxa"/>
            <w:vMerge w:val="continue"/>
            <w:tcBorders>
              <w:top w:val="nil"/>
              <w:left w:val="single" w:color="auto" w:sz="4" w:space="0"/>
              <w:bottom w:val="nil"/>
              <w:right w:val="single" w:color="auto" w:sz="4" w:space="0"/>
            </w:tcBorders>
            <w:vAlign w:val="center"/>
          </w:tcPr>
          <w:p>
            <w:pPr>
              <w:widowControl/>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生态效益</w:t>
            </w:r>
          </w:p>
          <w:p>
            <w:pPr>
              <w:widowControl/>
              <w:spacing w:line="240" w:lineRule="exact"/>
              <w:ind w:left="0" w:leftChars="0" w:firstLine="210" w:firstLineChars="10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950"/>
              </w:tabs>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w:t>
            </w:r>
          </w:p>
        </w:tc>
        <w:tc>
          <w:tcPr>
            <w:tcW w:w="10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w:t>
            </w:r>
          </w:p>
        </w:tc>
        <w:tc>
          <w:tcPr>
            <w:tcW w:w="6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w:t>
            </w:r>
          </w:p>
        </w:tc>
        <w:tc>
          <w:tcPr>
            <w:tcW w:w="5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w:t>
            </w:r>
          </w:p>
        </w:tc>
        <w:tc>
          <w:tcPr>
            <w:tcW w:w="14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720" w:hRule="atLeast"/>
        </w:trPr>
        <w:tc>
          <w:tcPr>
            <w:tcW w:w="640" w:type="dxa"/>
            <w:vMerge w:val="continue"/>
            <w:tcBorders>
              <w:top w:val="nil"/>
              <w:left w:val="single" w:color="auto" w:sz="4" w:space="0"/>
              <w:bottom w:val="nil"/>
              <w:right w:val="single" w:color="auto" w:sz="4" w:space="0"/>
            </w:tcBorders>
            <w:vAlign w:val="center"/>
          </w:tcPr>
          <w:p>
            <w:pPr>
              <w:widowControl/>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可持续</w:t>
            </w:r>
          </w:p>
          <w:p>
            <w:pPr>
              <w:widowControl/>
              <w:spacing w:line="240" w:lineRule="exact"/>
              <w:ind w:left="210" w:leftChars="75"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效益</w:t>
            </w:r>
          </w:p>
          <w:p>
            <w:pPr>
              <w:widowControl/>
              <w:spacing w:line="240" w:lineRule="exact"/>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sz w:val="18"/>
                <w:szCs w:val="18"/>
              </w:rPr>
              <w:t>采购的光纤网络专线、监控设施硬盘状况未出现故障，也不存在过度损耗情况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100%</w:t>
            </w:r>
          </w:p>
        </w:tc>
        <w:tc>
          <w:tcPr>
            <w:tcW w:w="1020" w:type="dxa"/>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100%</w:t>
            </w:r>
          </w:p>
        </w:tc>
        <w:tc>
          <w:tcPr>
            <w:tcW w:w="646" w:type="dxa"/>
            <w:gridSpan w:val="2"/>
            <w:tcBorders>
              <w:top w:val="single" w:color="auto" w:sz="4" w:space="0"/>
              <w:left w:val="nil"/>
              <w:bottom w:val="single" w:color="auto" w:sz="4" w:space="0"/>
              <w:right w:val="single" w:color="auto" w:sz="4" w:space="0"/>
            </w:tcBorders>
            <w:vAlign w:val="center"/>
          </w:tcPr>
          <w:p>
            <w:pPr>
              <w:widowControl/>
              <w:spacing w:line="240" w:lineRule="exact"/>
              <w:ind w:left="0" w:leftChars="0" w:firstLine="0" w:firstLineChars="0"/>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w:t>
            </w:r>
          </w:p>
        </w:tc>
        <w:tc>
          <w:tcPr>
            <w:tcW w:w="542" w:type="dxa"/>
            <w:gridSpan w:val="2"/>
            <w:tcBorders>
              <w:top w:val="nil"/>
              <w:left w:val="nil"/>
              <w:bottom w:val="single" w:color="auto" w:sz="4" w:space="0"/>
              <w:right w:val="single" w:color="auto" w:sz="4" w:space="0"/>
            </w:tcBorders>
            <w:vAlign w:val="center"/>
          </w:tcPr>
          <w:p>
            <w:pPr>
              <w:widowControl/>
              <w:spacing w:line="240" w:lineRule="exact"/>
              <w:ind w:left="0" w:leftChars="0" w:firstLine="0" w:firstLineChars="0"/>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w:t>
            </w:r>
          </w:p>
        </w:tc>
        <w:tc>
          <w:tcPr>
            <w:tcW w:w="142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1010" w:hRule="exact"/>
        </w:trPr>
        <w:tc>
          <w:tcPr>
            <w:tcW w:w="640" w:type="dxa"/>
            <w:vMerge w:val="continue"/>
            <w:tcBorders>
              <w:top w:val="nil"/>
              <w:left w:val="single" w:color="auto" w:sz="4" w:space="0"/>
              <w:bottom w:val="nil"/>
              <w:right w:val="single" w:color="auto" w:sz="4" w:space="0"/>
            </w:tcBorders>
            <w:vAlign w:val="center"/>
          </w:tcPr>
          <w:p>
            <w:pPr>
              <w:widowControl/>
              <w:jc w:val="center"/>
              <w:rPr>
                <w:rFonts w:ascii="黑体" w:hAnsi="宋体" w:eastAsia="黑体" w:cs="宋体"/>
                <w:kern w:val="0"/>
                <w:szCs w:val="21"/>
              </w:rPr>
            </w:pPr>
          </w:p>
        </w:tc>
        <w:tc>
          <w:tcPr>
            <w:tcW w:w="1064" w:type="dxa"/>
            <w:tcBorders>
              <w:top w:val="nil"/>
              <w:left w:val="single" w:color="auto" w:sz="4" w:space="0"/>
              <w:bottom w:val="nil"/>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满意度</w:t>
            </w:r>
          </w:p>
          <w:p>
            <w:pPr>
              <w:widowControl/>
              <w:spacing w:line="240" w:lineRule="exact"/>
              <w:ind w:left="0" w:leftChars="0" w:firstLine="210" w:firstLineChars="10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w:t>
            </w:r>
          </w:p>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0分）</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服务对象满意度指标（</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0分）</w:t>
            </w:r>
          </w:p>
        </w:tc>
        <w:tc>
          <w:tcPr>
            <w:tcW w:w="2116" w:type="dxa"/>
            <w:gridSpan w:val="2"/>
            <w:tcBorders>
              <w:top w:val="single" w:color="auto" w:sz="4" w:space="0"/>
              <w:left w:val="nil"/>
              <w:bottom w:val="nil"/>
              <w:right w:val="single" w:color="auto" w:sz="4" w:space="0"/>
            </w:tcBorders>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sz w:val="18"/>
                <w:szCs w:val="18"/>
              </w:rPr>
              <w:t>办事群众和分窗口工作人员对网络专线及设备使用的满意度</w:t>
            </w:r>
          </w:p>
        </w:tc>
        <w:tc>
          <w:tcPr>
            <w:tcW w:w="1200" w:type="dxa"/>
            <w:tcBorders>
              <w:top w:val="single" w:color="auto" w:sz="4" w:space="0"/>
              <w:left w:val="nil"/>
              <w:bottom w:val="nil"/>
              <w:right w:val="single" w:color="auto" w:sz="4" w:space="0"/>
            </w:tcBorders>
            <w:vAlign w:val="center"/>
          </w:tcPr>
          <w:p>
            <w:pPr>
              <w:widowControl/>
              <w:spacing w:line="240" w:lineRule="exact"/>
              <w:ind w:left="0" w:leftChars="0" w:firstLine="0" w:firstLineChars="0"/>
              <w:jc w:val="center"/>
              <w:rPr>
                <w:rFonts w:ascii="仿宋" w:hAnsi="仿宋" w:eastAsia="仿宋" w:cs="仿宋"/>
                <w:kern w:val="0"/>
                <w:sz w:val="18"/>
                <w:szCs w:val="18"/>
              </w:rPr>
            </w:pPr>
            <w:r>
              <w:rPr>
                <w:rFonts w:hint="eastAsia" w:ascii="仿宋" w:hAnsi="仿宋" w:eastAsia="仿宋" w:cs="仿宋"/>
                <w:kern w:val="0"/>
                <w:sz w:val="18"/>
                <w:szCs w:val="18"/>
              </w:rPr>
              <w:t>≥9</w:t>
            </w:r>
            <w:r>
              <w:rPr>
                <w:rFonts w:hint="eastAsia" w:ascii="仿宋" w:hAnsi="仿宋" w:eastAsia="仿宋" w:cs="仿宋"/>
                <w:kern w:val="0"/>
                <w:sz w:val="18"/>
                <w:szCs w:val="18"/>
                <w:lang w:val="en-US" w:eastAsia="zh-CN"/>
              </w:rPr>
              <w:t>0</w:t>
            </w:r>
            <w:r>
              <w:rPr>
                <w:rFonts w:hint="eastAsia" w:ascii="仿宋" w:hAnsi="仿宋" w:eastAsia="仿宋" w:cs="仿宋"/>
                <w:kern w:val="0"/>
                <w:sz w:val="18"/>
                <w:szCs w:val="18"/>
              </w:rPr>
              <w:t>%</w:t>
            </w:r>
          </w:p>
        </w:tc>
        <w:tc>
          <w:tcPr>
            <w:tcW w:w="1020" w:type="dxa"/>
            <w:tcBorders>
              <w:top w:val="single" w:color="auto" w:sz="4" w:space="0"/>
              <w:left w:val="nil"/>
              <w:bottom w:val="nil"/>
              <w:right w:val="single" w:color="auto" w:sz="4" w:space="0"/>
            </w:tcBorders>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≥9</w:t>
            </w:r>
            <w:r>
              <w:rPr>
                <w:rFonts w:hint="eastAsia" w:ascii="仿宋" w:hAnsi="仿宋" w:eastAsia="仿宋" w:cs="仿宋"/>
                <w:kern w:val="0"/>
                <w:sz w:val="18"/>
                <w:szCs w:val="18"/>
                <w:lang w:val="en-US" w:eastAsia="zh-CN"/>
              </w:rPr>
              <w:t>0</w:t>
            </w:r>
            <w:r>
              <w:rPr>
                <w:rFonts w:hint="eastAsia" w:ascii="仿宋" w:hAnsi="仿宋" w:eastAsia="仿宋" w:cs="仿宋"/>
                <w:kern w:val="0"/>
                <w:sz w:val="18"/>
                <w:szCs w:val="18"/>
              </w:rPr>
              <w:t>%</w:t>
            </w:r>
          </w:p>
        </w:tc>
        <w:tc>
          <w:tcPr>
            <w:tcW w:w="6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5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w:t>
            </w:r>
          </w:p>
        </w:tc>
        <w:tc>
          <w:tcPr>
            <w:tcW w:w="14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85" w:hRule="exact"/>
        </w:trPr>
        <w:tc>
          <w:tcPr>
            <w:tcW w:w="7246"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6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100</w:t>
            </w:r>
          </w:p>
        </w:tc>
        <w:tc>
          <w:tcPr>
            <w:tcW w:w="5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left="0" w:leftChars="0" w:firstLine="0" w:firstLineChars="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9</w:t>
            </w:r>
            <w:r>
              <w:rPr>
                <w:rFonts w:hint="eastAsia" w:asciiTheme="minorEastAsia" w:hAnsiTheme="minorEastAsia" w:eastAsiaTheme="minorEastAsia" w:cstheme="minorEastAsia"/>
                <w:color w:val="000000"/>
                <w:kern w:val="0"/>
                <w:sz w:val="21"/>
                <w:szCs w:val="21"/>
                <w:lang w:val="en-US" w:eastAsia="zh-CN"/>
              </w:rPr>
              <w:t>7</w:t>
            </w:r>
          </w:p>
        </w:tc>
        <w:tc>
          <w:tcPr>
            <w:tcW w:w="14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3"/>
                <w:szCs w:val="13"/>
              </w:rPr>
            </w:pPr>
          </w:p>
        </w:tc>
      </w:tr>
    </w:tbl>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仿宋" w:hAnsi="仿宋" w:eastAsia="仿宋" w:cs="仿宋"/>
          <w:b/>
          <w:bCs/>
          <w:lang w:val="en-US" w:eastAsia="zh-CN"/>
        </w:rPr>
      </w:pPr>
      <w:r>
        <w:rPr>
          <w:rFonts w:hint="eastAsia" w:ascii="仿宋" w:hAnsi="仿宋" w:cs="仿宋"/>
          <w:b/>
          <w:bCs/>
          <w:lang w:val="en-US" w:eastAsia="zh-CN"/>
        </w:rPr>
        <w:t>四、绩效评价指标分析</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仿宋" w:hAnsi="仿宋" w:eastAsia="仿宋" w:cs="仿宋"/>
          <w:b/>
          <w:bCs/>
          <w:lang w:val="en-US" w:eastAsia="zh-CN"/>
        </w:rPr>
      </w:pPr>
      <w:r>
        <w:rPr>
          <w:rFonts w:hint="default" w:ascii="仿宋" w:hAnsi="仿宋" w:eastAsia="仿宋" w:cs="仿宋"/>
          <w:b/>
          <w:bCs/>
          <w:lang w:val="en-US" w:eastAsia="zh-CN"/>
        </w:rPr>
        <w:t>(一)项目投入</w:t>
      </w:r>
      <w:r>
        <w:rPr>
          <w:rFonts w:hint="eastAsia" w:ascii="仿宋" w:hAnsi="仿宋" w:cs="仿宋"/>
          <w:b/>
          <w:bCs/>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default" w:ascii="仿宋" w:hAnsi="仿宋" w:eastAsia="仿宋" w:cs="仿宋"/>
          <w:b/>
          <w:bCs/>
          <w:lang w:val="en-US" w:eastAsia="zh-CN"/>
        </w:rPr>
      </w:pPr>
      <w:r>
        <w:rPr>
          <w:rFonts w:hint="default" w:ascii="仿宋" w:hAnsi="仿宋" w:eastAsia="仿宋" w:cs="仿宋"/>
          <w:b/>
          <w:bCs/>
          <w:lang w:val="en-US" w:eastAsia="zh-CN"/>
        </w:rPr>
        <w:t>1、项目立项规范性指标得分情况分析(</w:t>
      </w:r>
      <w:r>
        <w:rPr>
          <w:rFonts w:hint="eastAsia" w:ascii="仿宋" w:hAnsi="仿宋" w:cs="仿宋"/>
          <w:b/>
          <w:bCs/>
          <w:lang w:val="en-US" w:eastAsia="zh-CN"/>
        </w:rPr>
        <w:t>2.5分</w:t>
      </w:r>
      <w:r>
        <w:rPr>
          <w:rFonts w:hint="default" w:ascii="仿宋" w:hAnsi="仿宋" w:eastAsia="仿宋" w:cs="仿宋"/>
          <w:b/>
          <w:bCs/>
          <w:lang w:val="en-US" w:eastAsia="zh-CN"/>
        </w:rPr>
        <w:t>)</w:t>
      </w:r>
    </w:p>
    <w:p>
      <w:pPr>
        <w:numPr>
          <w:ilvl w:val="0"/>
          <w:numId w:val="0"/>
        </w:numPr>
        <w:ind w:firstLine="560" w:firstLineChars="200"/>
        <w:rPr>
          <w:rFonts w:hint="eastAsia"/>
          <w:lang w:eastAsia="zh-CN"/>
        </w:rPr>
      </w:pPr>
      <w:r>
        <w:rPr>
          <w:rFonts w:hint="default" w:ascii="仿宋" w:hAnsi="仿宋" w:eastAsia="仿宋" w:cs="仿宋"/>
          <w:lang w:val="en-US" w:eastAsia="zh-CN"/>
        </w:rPr>
        <w:t>项目立项规范</w:t>
      </w:r>
      <w:r>
        <w:rPr>
          <w:rFonts w:hint="eastAsia" w:ascii="仿宋" w:hAnsi="仿宋" w:cs="仿宋"/>
          <w:lang w:val="en-US" w:eastAsia="zh-CN"/>
        </w:rPr>
        <w:t>：</w:t>
      </w:r>
      <w:r>
        <w:rPr>
          <w:rFonts w:hint="eastAsia" w:ascii="仿宋" w:hAnsi="仿宋" w:cs="宋体"/>
          <w:bCs/>
          <w:color w:val="000000" w:themeColor="text1"/>
          <w:kern w:val="0"/>
          <w:sz w:val="30"/>
          <w:szCs w:val="30"/>
          <w:lang w:eastAsia="zh-CN"/>
          <w14:textFill>
            <w14:solidFill>
              <w14:schemeClr w14:val="tx1"/>
            </w14:solidFill>
          </w14:textFill>
        </w:rPr>
        <w:t>根据南昌市国土资源局</w:t>
      </w:r>
      <w:r>
        <w:rPr>
          <w:rFonts w:hint="eastAsia"/>
        </w:rPr>
        <w:t>《关于恳请批复&lt;关于在中心城区增设不动产抵押类登记窗口的实施方案&gt;的请示》（洪不动产文[2017]5号）</w:t>
      </w:r>
      <w:r>
        <w:rPr>
          <w:rFonts w:hint="eastAsia"/>
          <w:lang w:eastAsia="zh-CN"/>
        </w:rPr>
        <w:t>、南昌市人民政府办公厅文件《南昌市人民政府</w:t>
      </w:r>
      <w:r>
        <w:rPr>
          <w:rFonts w:hint="eastAsia"/>
        </w:rPr>
        <w:t>办公厅关于印发南昌市政务服务网基层延伸工作建设方案的通知》（洪府厅发[2016]109号）</w:t>
      </w:r>
      <w:r>
        <w:rPr>
          <w:rFonts w:hint="eastAsia"/>
          <w:lang w:eastAsia="zh-CN"/>
        </w:rPr>
        <w:t>、南昌市人民政府办公厅</w:t>
      </w:r>
      <w:r>
        <w:rPr>
          <w:rFonts w:hint="eastAsia"/>
        </w:rPr>
        <w:t>《南昌市人民政府办公厅关于在中心城区增设不动产抵押类登记窗口的实施方案的批复》（洪府厅字[2017]252号）</w:t>
      </w:r>
      <w:r>
        <w:rPr>
          <w:rFonts w:hint="eastAsia"/>
          <w:lang w:eastAsia="zh-CN"/>
        </w:rPr>
        <w:t>文件精神</w:t>
      </w:r>
      <w:r>
        <w:rPr>
          <w:rFonts w:hint="eastAsia"/>
          <w:lang w:val="en-US" w:eastAsia="zh-CN"/>
        </w:rPr>
        <w:t>确立本项目</w:t>
      </w:r>
      <w:r>
        <w:rPr>
          <w:rFonts w:hint="eastAsia"/>
          <w:lang w:eastAsia="zh-CN"/>
        </w:rPr>
        <w:t>，对</w:t>
      </w:r>
      <w:r>
        <w:rPr>
          <w:rFonts w:hint="eastAsia" w:ascii="仿宋" w:hAnsi="仿宋" w:eastAsia="仿宋" w:cs="仿宋"/>
        </w:rPr>
        <w:t>201</w:t>
      </w:r>
      <w:r>
        <w:rPr>
          <w:rFonts w:hint="eastAsia" w:ascii="仿宋" w:hAnsi="仿宋" w:cs="仿宋"/>
          <w:lang w:val="en-US" w:eastAsia="zh-CN"/>
        </w:rPr>
        <w:t>9</w:t>
      </w:r>
      <w:r>
        <w:rPr>
          <w:rFonts w:hint="eastAsia" w:ascii="仿宋" w:hAnsi="仿宋" w:eastAsia="仿宋" w:cs="仿宋"/>
        </w:rPr>
        <w:t>年度中心城区增设不动产登记窗口所需设备购买经费项目</w:t>
      </w:r>
      <w:r>
        <w:rPr>
          <w:rFonts w:hint="eastAsia"/>
          <w:lang w:eastAsia="zh-CN"/>
        </w:rPr>
        <w:t>均应按规定纳入政府集中采购，所需经费在财政预算安排的</w:t>
      </w:r>
      <w:r>
        <w:rPr>
          <w:rFonts w:hint="eastAsia"/>
          <w:lang w:val="en-US" w:eastAsia="zh-CN"/>
        </w:rPr>
        <w:t>自然资源</w:t>
      </w:r>
      <w:r>
        <w:rPr>
          <w:rFonts w:hint="eastAsia"/>
          <w:lang w:eastAsia="zh-CN"/>
        </w:rPr>
        <w:t>专项资金中列支。</w:t>
      </w:r>
    </w:p>
    <w:p>
      <w:pPr>
        <w:numPr>
          <w:ilvl w:val="0"/>
          <w:numId w:val="0"/>
        </w:numPr>
        <w:ind w:firstLine="560" w:firstLineChars="200"/>
        <w:rPr>
          <w:rFonts w:hint="default" w:ascii="仿宋" w:hAnsi="仿宋" w:eastAsia="仿宋" w:cs="仿宋"/>
          <w:lang w:val="en-US" w:eastAsia="zh-CN"/>
        </w:rPr>
      </w:pPr>
      <w:r>
        <w:rPr>
          <w:rFonts w:hint="default" w:ascii="仿宋" w:hAnsi="仿宋" w:eastAsia="仿宋" w:cs="仿宋"/>
          <w:lang w:val="en-US" w:eastAsia="zh-CN"/>
        </w:rPr>
        <w:t>设立项目预期目标</w:t>
      </w:r>
      <w:r>
        <w:rPr>
          <w:rFonts w:hint="eastAsia" w:ascii="仿宋" w:hAnsi="仿宋" w:cs="仿宋"/>
          <w:lang w:val="en-US" w:eastAsia="zh-CN"/>
        </w:rPr>
        <w:t>完成情况：</w:t>
      </w:r>
      <w:r>
        <w:rPr>
          <w:rFonts w:hint="eastAsia" w:ascii="仿宋" w:hAnsi="仿宋" w:eastAsia="仿宋" w:cs="仿宋"/>
          <w:lang w:val="en-US" w:eastAsia="zh-CN"/>
        </w:rPr>
        <w:t>(1)增设不动产登记窗口快捷有效缓解我市不动产抵押登记业务受理量过大的难题，办事群众普遍反映业务办理等待时间与在市级登记窗口相比明显减少;</w:t>
      </w:r>
      <w:r>
        <w:rPr>
          <w:rFonts w:hint="eastAsia" w:ascii="仿宋" w:hAnsi="仿宋" w:eastAsia="仿宋" w:cs="仿宋"/>
          <w:lang w:val="en-US" w:eastAsia="zh-CN"/>
        </w:rPr>
        <w:br w:type="textWrapping"/>
      </w:r>
      <w:r>
        <w:rPr>
          <w:rFonts w:hint="eastAsia" w:ascii="仿宋" w:hAnsi="仿宋" w:cs="仿宋"/>
          <w:lang w:val="en-US" w:eastAsia="zh-CN"/>
        </w:rPr>
        <w:t xml:space="preserve">    </w:t>
      </w:r>
      <w:r>
        <w:rPr>
          <w:rFonts w:hint="eastAsia" w:ascii="仿宋" w:hAnsi="仿宋" w:eastAsia="仿宋" w:cs="仿宋"/>
          <w:lang w:val="en-US" w:eastAsia="zh-CN"/>
        </w:rPr>
        <w:t>(2) 不动产登记窗口业务办理效率得到了有效提高，不存在不动产抵押类业务超承诺时限办结的情况;</w:t>
      </w:r>
      <w:r>
        <w:rPr>
          <w:rFonts w:hint="eastAsia" w:ascii="仿宋" w:hAnsi="仿宋" w:eastAsia="仿宋" w:cs="仿宋"/>
          <w:lang w:val="en-US" w:eastAsia="zh-CN"/>
        </w:rPr>
        <w:br w:type="textWrapping"/>
      </w:r>
      <w:r>
        <w:rPr>
          <w:rFonts w:hint="eastAsia" w:ascii="仿宋" w:hAnsi="仿宋" w:cs="仿宋"/>
          <w:lang w:val="en-US" w:eastAsia="zh-CN"/>
        </w:rPr>
        <w:t xml:space="preserve">    </w:t>
      </w:r>
      <w:r>
        <w:rPr>
          <w:rFonts w:hint="eastAsia" w:ascii="仿宋" w:hAnsi="仿宋" w:eastAsia="仿宋" w:cs="仿宋"/>
          <w:lang w:val="en-US" w:eastAsia="zh-CN"/>
        </w:rPr>
        <w:t>(3)新增的不动产登记窗口光纤网络专线、设施硬盘等运行状况基本良好，无过度损耗现象;资金使用进度正常合理，不存在结余情况。</w:t>
      </w:r>
      <w:r>
        <w:rPr>
          <w:rFonts w:hint="default" w:ascii="仿宋" w:hAnsi="仿宋" w:eastAsia="仿宋" w:cs="仿宋"/>
          <w:lang w:val="en-US" w:eastAsia="zh-CN"/>
        </w:rPr>
        <w:t>该项指标得</w:t>
      </w:r>
      <w:r>
        <w:rPr>
          <w:rFonts w:hint="eastAsia" w:ascii="仿宋" w:hAnsi="仿宋" w:cs="仿宋"/>
          <w:lang w:val="en-US" w:eastAsia="zh-CN"/>
        </w:rPr>
        <w:t>2.5</w:t>
      </w:r>
      <w:r>
        <w:rPr>
          <w:rFonts w:hint="default" w:ascii="仿宋" w:hAnsi="仿宋" w:eastAsia="仿宋" w:cs="仿宋"/>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default" w:ascii="仿宋" w:hAnsi="仿宋" w:eastAsia="仿宋" w:cs="仿宋"/>
          <w:b/>
          <w:bCs/>
          <w:lang w:val="en-US" w:eastAsia="zh-CN"/>
        </w:rPr>
      </w:pPr>
      <w:r>
        <w:rPr>
          <w:rFonts w:hint="default" w:ascii="仿宋" w:hAnsi="仿宋" w:eastAsia="仿宋" w:cs="仿宋"/>
          <w:b/>
          <w:bCs/>
          <w:lang w:val="en-US" w:eastAsia="zh-CN"/>
        </w:rPr>
        <w:t>2、预算资金执行率指标得分情况分析(</w:t>
      </w:r>
      <w:r>
        <w:rPr>
          <w:rFonts w:hint="eastAsia" w:ascii="仿宋" w:hAnsi="仿宋" w:cs="仿宋"/>
          <w:b/>
          <w:bCs/>
          <w:lang w:val="en-US" w:eastAsia="zh-CN"/>
        </w:rPr>
        <w:t>2.5</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预算资金执行率</w:t>
      </w:r>
      <w:r>
        <w:rPr>
          <w:rFonts w:hint="eastAsia" w:ascii="仿宋" w:hAnsi="仿宋" w:cs="仿宋"/>
          <w:b w:val="0"/>
          <w:bCs w:val="0"/>
          <w:lang w:val="en-US" w:eastAsia="zh-CN"/>
        </w:rPr>
        <w:t>：</w:t>
      </w:r>
      <w:r>
        <w:rPr>
          <w:rFonts w:hint="default" w:ascii="仿宋" w:hAnsi="仿宋" w:eastAsia="仿宋" w:cs="仿宋"/>
          <w:b w:val="0"/>
          <w:bCs w:val="0"/>
          <w:lang w:val="en-US" w:eastAsia="zh-CN"/>
        </w:rPr>
        <w:t>(实际支出资金</w:t>
      </w:r>
      <w:r>
        <w:rPr>
          <w:rFonts w:hint="default" w:ascii="Arial" w:hAnsi="Arial" w:eastAsia="仿宋" w:cs="Arial"/>
          <w:b w:val="0"/>
          <w:bCs w:val="0"/>
          <w:lang w:val="en-US" w:eastAsia="zh-CN"/>
        </w:rPr>
        <w:t>÷</w:t>
      </w:r>
      <w:r>
        <w:rPr>
          <w:rFonts w:hint="default" w:ascii="仿宋" w:hAnsi="仿宋" w:eastAsia="仿宋" w:cs="仿宋"/>
          <w:b w:val="0"/>
          <w:bCs w:val="0"/>
          <w:lang w:val="en-US" w:eastAsia="zh-CN"/>
        </w:rPr>
        <w:t>预算安排资金)</w:t>
      </w:r>
      <w:r>
        <w:rPr>
          <w:rFonts w:hint="default" w:ascii="Arial" w:hAnsi="Arial" w:eastAsia="仿宋" w:cs="Arial"/>
          <w:b w:val="0"/>
          <w:bCs w:val="0"/>
          <w:lang w:val="en-US" w:eastAsia="zh-CN"/>
        </w:rPr>
        <w:t>×</w:t>
      </w:r>
      <w:r>
        <w:rPr>
          <w:rFonts w:hint="default" w:ascii="仿宋" w:hAnsi="仿宋" w:eastAsia="仿宋" w:cs="仿宋"/>
          <w:b w:val="0"/>
          <w:bCs w:val="0"/>
          <w:lang w:val="en-US" w:eastAsia="zh-CN"/>
        </w:rPr>
        <w:t xml:space="preserve"> 100%=(13</w:t>
      </w:r>
      <w:r>
        <w:rPr>
          <w:rFonts w:hint="eastAsia" w:ascii="仿宋" w:hAnsi="仿宋" w:cs="仿宋"/>
          <w:b w:val="0"/>
          <w:bCs w:val="0"/>
          <w:lang w:val="en-US" w:eastAsia="zh-CN"/>
        </w:rPr>
        <w:t>.</w:t>
      </w:r>
      <w:r>
        <w:rPr>
          <w:rFonts w:hint="default" w:ascii="仿宋" w:hAnsi="仿宋" w:eastAsia="仿宋" w:cs="仿宋"/>
          <w:b w:val="0"/>
          <w:bCs w:val="0"/>
          <w:lang w:val="en-US" w:eastAsia="zh-CN"/>
        </w:rPr>
        <w:t>4</w:t>
      </w:r>
      <w:r>
        <w:rPr>
          <w:rFonts w:hint="eastAsia" w:ascii="仿宋" w:hAnsi="仿宋" w:cs="仿宋"/>
          <w:b w:val="0"/>
          <w:bCs w:val="0"/>
          <w:lang w:val="en-US" w:eastAsia="zh-CN"/>
        </w:rPr>
        <w:t>812万元</w:t>
      </w:r>
      <w:r>
        <w:rPr>
          <w:rFonts w:hint="default" w:ascii="Arial" w:hAnsi="Arial" w:eastAsia="仿宋" w:cs="Arial"/>
          <w:b w:val="0"/>
          <w:bCs w:val="0"/>
          <w:lang w:val="en-US" w:eastAsia="zh-CN"/>
        </w:rPr>
        <w:t>÷</w:t>
      </w:r>
      <w:r>
        <w:rPr>
          <w:rFonts w:hint="default" w:ascii="仿宋" w:hAnsi="仿宋" w:eastAsia="仿宋" w:cs="仿宋"/>
          <w:b w:val="0"/>
          <w:bCs w:val="0"/>
          <w:lang w:val="en-US" w:eastAsia="zh-CN"/>
        </w:rPr>
        <w:t>16</w:t>
      </w:r>
      <w:r>
        <w:rPr>
          <w:rFonts w:hint="eastAsia" w:ascii="仿宋" w:hAnsi="仿宋" w:cs="仿宋"/>
          <w:b w:val="0"/>
          <w:bCs w:val="0"/>
          <w:lang w:val="en-US" w:eastAsia="zh-CN"/>
        </w:rPr>
        <w:t>.</w:t>
      </w:r>
      <w:r>
        <w:rPr>
          <w:rFonts w:hint="default" w:ascii="仿宋" w:hAnsi="仿宋" w:eastAsia="仿宋" w:cs="仿宋"/>
          <w:b w:val="0"/>
          <w:bCs w:val="0"/>
          <w:lang w:val="en-US" w:eastAsia="zh-CN"/>
        </w:rPr>
        <w:t>1</w:t>
      </w:r>
      <w:r>
        <w:rPr>
          <w:rFonts w:hint="eastAsia" w:ascii="仿宋" w:hAnsi="仿宋" w:cs="仿宋"/>
          <w:b w:val="0"/>
          <w:bCs w:val="0"/>
          <w:lang w:val="en-US" w:eastAsia="zh-CN"/>
        </w:rPr>
        <w:t>万元</w:t>
      </w:r>
      <w:r>
        <w:rPr>
          <w:rFonts w:hint="default" w:ascii="仿宋" w:hAnsi="仿宋" w:eastAsia="仿宋" w:cs="仿宋"/>
          <w:b w:val="0"/>
          <w:bCs w:val="0"/>
          <w:lang w:val="en-US" w:eastAsia="zh-CN"/>
        </w:rPr>
        <w:t>)</w:t>
      </w:r>
      <w:r>
        <w:rPr>
          <w:rFonts w:hint="default" w:ascii="Arial" w:hAnsi="Arial" w:eastAsia="仿宋" w:cs="Arial"/>
          <w:b w:val="0"/>
          <w:bCs w:val="0"/>
          <w:lang w:val="en-US" w:eastAsia="zh-CN"/>
        </w:rPr>
        <w:t>×</w:t>
      </w:r>
      <w:r>
        <w:rPr>
          <w:rFonts w:hint="eastAsia" w:ascii="仿宋" w:hAnsi="仿宋" w:cs="仿宋"/>
          <w:b w:val="0"/>
          <w:bCs w:val="0"/>
          <w:lang w:val="en-US" w:eastAsia="zh-CN"/>
        </w:rPr>
        <w:t>1</w:t>
      </w:r>
      <w:r>
        <w:rPr>
          <w:rFonts w:hint="default" w:ascii="仿宋" w:hAnsi="仿宋" w:eastAsia="仿宋" w:cs="仿宋"/>
          <w:b w:val="0"/>
          <w:bCs w:val="0"/>
          <w:lang w:val="en-US" w:eastAsia="zh-CN"/>
        </w:rPr>
        <w:t>00</w:t>
      </w:r>
      <w:r>
        <w:rPr>
          <w:rFonts w:hint="eastAsia" w:ascii="仿宋" w:hAnsi="仿宋" w:cs="仿宋"/>
          <w:b w:val="0"/>
          <w:bCs w:val="0"/>
          <w:lang w:val="en-US" w:eastAsia="zh-CN"/>
        </w:rPr>
        <w:t>%=83.7</w:t>
      </w:r>
      <w:r>
        <w:rPr>
          <w:rFonts w:hint="default" w:ascii="仿宋" w:hAnsi="仿宋" w:eastAsia="仿宋" w:cs="仿宋"/>
          <w:b w:val="0"/>
          <w:bCs w:val="0"/>
          <w:lang w:val="en-US" w:eastAsia="zh-CN"/>
        </w:rPr>
        <w:t>%</w:t>
      </w:r>
      <w:r>
        <w:rPr>
          <w:rFonts w:hint="eastAsia" w:ascii="仿宋" w:hAnsi="仿宋" w:cs="仿宋"/>
          <w:b w:val="0"/>
          <w:bCs w:val="0"/>
          <w:lang w:val="en-US" w:eastAsia="zh-CN"/>
        </w:rPr>
        <w:t>，</w:t>
      </w:r>
      <w:r>
        <w:rPr>
          <w:rFonts w:hint="eastAsia"/>
          <w:lang w:val="en-US" w:eastAsia="zh-CN"/>
        </w:rPr>
        <w:t>其中监控硬盘费用5.8612万元、网络光纤费用7.62万元，</w:t>
      </w:r>
      <w:r>
        <w:rPr>
          <w:rFonts w:hint="eastAsia" w:ascii="仿宋" w:hAnsi="仿宋" w:cs="仿宋"/>
          <w:b w:val="0"/>
          <w:bCs w:val="0"/>
          <w:lang w:val="en-US" w:eastAsia="zh-CN"/>
        </w:rPr>
        <w:t>该</w:t>
      </w:r>
      <w:r>
        <w:rPr>
          <w:rFonts w:hint="default" w:ascii="仿宋" w:hAnsi="仿宋" w:eastAsia="仿宋" w:cs="仿宋"/>
          <w:b w:val="0"/>
          <w:bCs w:val="0"/>
          <w:lang w:val="en-US" w:eastAsia="zh-CN"/>
        </w:rPr>
        <w:t>项指标得</w:t>
      </w:r>
      <w:r>
        <w:rPr>
          <w:rFonts w:hint="eastAsia" w:ascii="仿宋" w:hAnsi="仿宋" w:cs="仿宋"/>
          <w:b w:val="0"/>
          <w:bCs w:val="0"/>
          <w:lang w:val="en-US" w:eastAsia="zh-CN"/>
        </w:rPr>
        <w:t>2.5</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562" w:firstLineChars="200"/>
        <w:textAlignment w:val="auto"/>
        <w:rPr>
          <w:rFonts w:hint="default" w:ascii="仿宋" w:hAnsi="仿宋" w:eastAsia="仿宋" w:cs="仿宋"/>
          <w:b/>
          <w:bCs/>
          <w:lang w:val="en-US" w:eastAsia="zh-CN"/>
        </w:rPr>
      </w:pPr>
      <w:r>
        <w:rPr>
          <w:rFonts w:hint="eastAsia" w:ascii="仿宋" w:hAnsi="仿宋" w:cs="仿宋"/>
          <w:b/>
          <w:bCs/>
          <w:lang w:val="en-US" w:eastAsia="zh-CN"/>
        </w:rPr>
        <w:t>（二）</w:t>
      </w:r>
      <w:r>
        <w:rPr>
          <w:rFonts w:hint="default" w:ascii="仿宋" w:hAnsi="仿宋" w:eastAsia="仿宋" w:cs="仿宋"/>
          <w:b/>
          <w:bCs/>
          <w:lang w:val="en-US" w:eastAsia="zh-CN"/>
        </w:rPr>
        <w:t>项目过程</w:t>
      </w:r>
      <w:r>
        <w:rPr>
          <w:rFonts w:hint="eastAsia" w:ascii="仿宋" w:hAnsi="仿宋" w:cs="仿宋"/>
          <w:b/>
          <w:bCs/>
          <w:lang w:val="en-US" w:eastAsia="zh-CN"/>
        </w:rPr>
        <w:t>情况</w:t>
      </w:r>
      <w:r>
        <w:rPr>
          <w:rFonts w:hint="default" w:ascii="仿宋" w:hAnsi="仿宋" w:eastAsia="仿宋" w:cs="仿宋"/>
          <w:b/>
          <w:bCs/>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业务管理指标得分情况分析</w:t>
      </w:r>
      <w:r>
        <w:rPr>
          <w:rFonts w:hint="eastAsia" w:ascii="仿宋" w:hAnsi="仿宋" w:cs="仿宋"/>
          <w:b/>
          <w:bCs/>
          <w:lang w:val="en-US" w:eastAsia="zh-CN"/>
        </w:rPr>
        <w:t>（2.5分）</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(1)管理制度健</w:t>
      </w:r>
      <w:r>
        <w:rPr>
          <w:rFonts w:hint="eastAsia" w:ascii="仿宋" w:hAnsi="仿宋" w:cs="仿宋"/>
          <w:b w:val="0"/>
          <w:bCs w:val="0"/>
          <w:lang w:val="en-US" w:eastAsia="zh-CN"/>
        </w:rPr>
        <w:t>全</w:t>
      </w:r>
      <w:r>
        <w:rPr>
          <w:rFonts w:hint="default" w:ascii="仿宋" w:hAnsi="仿宋" w:eastAsia="仿宋" w:cs="仿宋"/>
          <w:b w:val="0"/>
          <w:bCs w:val="0"/>
          <w:lang w:val="en-US" w:eastAsia="zh-CN"/>
        </w:rPr>
        <w:t>性</w:t>
      </w:r>
      <w:r>
        <w:rPr>
          <w:rFonts w:hint="eastAsia" w:ascii="仿宋" w:hAnsi="仿宋" w:cs="仿宋"/>
          <w:b w:val="0"/>
          <w:bCs w:val="0"/>
          <w:lang w:val="en-US" w:eastAsia="zh-CN"/>
        </w:rPr>
        <w:t>：信息技术科负责该项目具体业务，制订了《档案信息中心政府采购暂行管理制度》、《档案信息中心合同管理制度》等</w:t>
      </w:r>
      <w:r>
        <w:rPr>
          <w:rFonts w:hint="default" w:ascii="仿宋" w:hAnsi="仿宋" w:eastAsia="仿宋" w:cs="仿宋"/>
          <w:b w:val="0"/>
          <w:bCs w:val="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(2)项目质量可控性</w:t>
      </w:r>
      <w:r>
        <w:rPr>
          <w:rFonts w:hint="eastAsia" w:ascii="仿宋" w:hAnsi="仿宋" w:cs="仿宋"/>
          <w:b w:val="0"/>
          <w:bCs w:val="0"/>
          <w:lang w:val="en-US" w:eastAsia="zh-CN"/>
        </w:rPr>
        <w:t>：按照项目合同约定，采购的网络光纤及监控硬盘已达到</w:t>
      </w:r>
      <w:r>
        <w:rPr>
          <w:rFonts w:hint="default" w:ascii="仿宋" w:hAnsi="仿宋" w:eastAsia="仿宋" w:cs="仿宋"/>
          <w:b w:val="0"/>
          <w:bCs w:val="0"/>
          <w:lang w:val="en-US" w:eastAsia="zh-CN"/>
        </w:rPr>
        <w:t>相应的项目质量要求</w:t>
      </w:r>
      <w:r>
        <w:rPr>
          <w:rFonts w:hint="eastAsia" w:ascii="仿宋" w:hAnsi="仿宋" w:cs="仿宋"/>
          <w:b w:val="0"/>
          <w:bCs w:val="0"/>
          <w:lang w:val="en-US" w:eastAsia="zh-CN"/>
        </w:rPr>
        <w:t>并投入使用。</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2、财务管理指标得分情况分析 (</w:t>
      </w:r>
      <w:r>
        <w:rPr>
          <w:rFonts w:hint="eastAsia" w:ascii="仿宋" w:hAnsi="仿宋" w:cs="仿宋"/>
          <w:b/>
          <w:bCs/>
          <w:lang w:val="en-US" w:eastAsia="zh-CN"/>
        </w:rPr>
        <w:t>2.</w:t>
      </w:r>
      <w:r>
        <w:rPr>
          <w:rFonts w:hint="default" w:ascii="仿宋" w:hAnsi="仿宋" w:eastAsia="仿宋" w:cs="仿宋"/>
          <w:b/>
          <w:bCs/>
          <w:lang w:val="en-US" w:eastAsia="zh-CN"/>
        </w:rPr>
        <w:t>5</w:t>
      </w:r>
      <w:r>
        <w:rPr>
          <w:rFonts w:hint="eastAsia" w:ascii="仿宋" w:hAnsi="仿宋" w:cs="仿宋"/>
          <w:b/>
          <w:bCs/>
          <w:lang w:val="en-US" w:eastAsia="zh-CN"/>
        </w:rPr>
        <w:t>分</w:t>
      </w:r>
      <w:r>
        <w:rPr>
          <w:rFonts w:hint="default" w:ascii="仿宋" w:hAnsi="仿宋" w:eastAsia="仿宋" w:cs="仿宋"/>
          <w:b/>
          <w:bCs/>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rPr>
          <w:rFonts w:hint="default" w:ascii="仿宋" w:hAnsi="仿宋" w:eastAsia="仿宋" w:cs="仿宋"/>
          <w:b/>
          <w:bCs/>
          <w:lang w:val="en-US" w:eastAsia="zh-CN"/>
        </w:rPr>
      </w:pPr>
      <w:r>
        <w:rPr>
          <w:rFonts w:hint="eastAsia" w:ascii="仿宋" w:hAnsi="仿宋" w:eastAsia="仿宋" w:cs="仿宋"/>
          <w:b w:val="0"/>
          <w:bCs w:val="0"/>
          <w:lang w:val="en-US" w:eastAsia="zh-CN"/>
        </w:rPr>
        <w:t>该项目经局领导集体研究同意，财务手续完善，按照财务管理要求，项目进度款支付，由经办业务处室提出付款请求，业务处室负责人签字审核，报分管局领导批准后，再转报至局财务处审核后，由分管财务局领导签批后，方能支付项目进度款，符合市自然资源局经费管理开支办法的规定。</w:t>
      </w:r>
      <w:bookmarkStart w:id="9" w:name="_GoBack"/>
      <w:bookmarkEnd w:id="9"/>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b/>
          <w:bCs/>
          <w:lang w:val="en-US" w:eastAsia="zh-CN"/>
        </w:rPr>
      </w:pPr>
      <w:r>
        <w:rPr>
          <w:rFonts w:hint="default" w:ascii="仿宋" w:hAnsi="仿宋" w:eastAsia="仿宋" w:cs="仿宋"/>
          <w:b/>
          <w:bCs/>
          <w:lang w:val="en-US" w:eastAsia="zh-CN"/>
        </w:rPr>
        <w:t>(三)项目产出</w:t>
      </w:r>
      <w:r>
        <w:rPr>
          <w:rFonts w:hint="eastAsia" w:ascii="仿宋" w:hAnsi="仿宋" w:cs="仿宋"/>
          <w:b/>
          <w:bCs/>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1、产出数量情况( 2</w:t>
      </w:r>
      <w:r>
        <w:rPr>
          <w:rFonts w:hint="eastAsia" w:ascii="仿宋" w:hAnsi="仿宋" w:cs="仿宋"/>
          <w:b/>
          <w:bCs/>
          <w:lang w:val="en-US" w:eastAsia="zh-CN"/>
        </w:rPr>
        <w:t>0</w:t>
      </w:r>
      <w:r>
        <w:rPr>
          <w:rFonts w:hint="default" w:ascii="仿宋" w:hAnsi="仿宋" w:eastAsia="仿宋" w:cs="仿宋"/>
          <w:b/>
          <w:bCs/>
          <w:lang w:val="en-US" w:eastAsia="zh-CN"/>
        </w:rPr>
        <w:t>分)</w:t>
      </w:r>
      <w:r>
        <w:rPr>
          <w:rFonts w:hint="eastAsia" w:ascii="仿宋" w:hAnsi="仿宋" w:cs="仿宋"/>
          <w:b/>
          <w:bCs/>
          <w:lang w:val="en-US" w:eastAsia="zh-CN"/>
        </w:rPr>
        <w:t>，</w:t>
      </w:r>
      <w:r>
        <w:rPr>
          <w:rFonts w:hint="default" w:ascii="仿宋" w:hAnsi="仿宋" w:eastAsia="仿宋" w:cs="仿宋"/>
          <w:b/>
          <w:bCs/>
          <w:lang w:val="en-US" w:eastAsia="zh-CN"/>
        </w:rPr>
        <w:t>该指标评价得分为2</w:t>
      </w:r>
      <w:r>
        <w:rPr>
          <w:rFonts w:hint="eastAsia" w:ascii="仿宋" w:hAnsi="仿宋" w:cs="仿宋"/>
          <w:b/>
          <w:bCs/>
          <w:lang w:val="en-US" w:eastAsia="zh-CN"/>
        </w:rPr>
        <w:t>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(1)设备购置完成率(10分)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设备(监控硬盘)购买完成率= (实际购买设备数量</w:t>
      </w:r>
      <w:r>
        <w:rPr>
          <w:rFonts w:hint="default" w:ascii="Arial" w:hAnsi="Arial" w:eastAsia="仿宋" w:cs="Arial"/>
          <w:b w:val="0"/>
          <w:bCs w:val="0"/>
          <w:lang w:val="en-US" w:eastAsia="zh-CN"/>
        </w:rPr>
        <w:t>÷</w:t>
      </w:r>
      <w:r>
        <w:rPr>
          <w:rFonts w:hint="default" w:ascii="仿宋" w:hAnsi="仿宋" w:eastAsia="仿宋" w:cs="仿宋"/>
          <w:b w:val="0"/>
          <w:bCs w:val="0"/>
          <w:lang w:val="en-US" w:eastAsia="zh-CN"/>
        </w:rPr>
        <w:t>计划购买设备数量)</w:t>
      </w:r>
      <w:r>
        <w:rPr>
          <w:rFonts w:hint="default" w:ascii="Arial" w:hAnsi="Arial" w:eastAsia="仿宋" w:cs="Arial"/>
          <w:b w:val="0"/>
          <w:bCs w:val="0"/>
          <w:lang w:val="en-US" w:eastAsia="zh-CN"/>
        </w:rPr>
        <w:t>×</w:t>
      </w:r>
      <w:r>
        <w:rPr>
          <w:rFonts w:hint="default" w:ascii="仿宋" w:hAnsi="仿宋" w:eastAsia="仿宋" w:cs="仿宋"/>
          <w:b w:val="0"/>
          <w:bCs w:val="0"/>
          <w:lang w:val="en-US" w:eastAsia="zh-CN"/>
        </w:rPr>
        <w:t xml:space="preserve">100% </w:t>
      </w:r>
      <w:r>
        <w:rPr>
          <w:rFonts w:hint="eastAsia" w:ascii="仿宋" w:hAnsi="仿宋" w:cs="仿宋"/>
          <w:b w:val="0"/>
          <w:bCs w:val="0"/>
          <w:lang w:val="en-US" w:eastAsia="zh-CN"/>
        </w:rPr>
        <w:t>=</w:t>
      </w:r>
      <w:r>
        <w:rPr>
          <w:rFonts w:hint="default" w:ascii="仿宋" w:hAnsi="仿宋" w:eastAsia="仿宋" w:cs="仿宋"/>
          <w:b w:val="0"/>
          <w:bCs w:val="0"/>
          <w:lang w:val="en-US" w:eastAsia="zh-CN"/>
        </w:rPr>
        <w:t>(3</w:t>
      </w:r>
      <w:r>
        <w:rPr>
          <w:rFonts w:hint="eastAsia" w:ascii="仿宋" w:hAnsi="仿宋" w:cs="仿宋"/>
          <w:b w:val="0"/>
          <w:bCs w:val="0"/>
          <w:lang w:val="en-US" w:eastAsia="zh-CN"/>
        </w:rPr>
        <w:t>5个</w:t>
      </w:r>
      <w:r>
        <w:rPr>
          <w:rFonts w:hint="default" w:ascii="Arial" w:hAnsi="Arial" w:eastAsia="仿宋" w:cs="Arial"/>
          <w:b w:val="0"/>
          <w:bCs w:val="0"/>
          <w:lang w:val="en-US" w:eastAsia="zh-CN"/>
        </w:rPr>
        <w:t>÷</w:t>
      </w:r>
      <w:r>
        <w:rPr>
          <w:rFonts w:hint="default" w:ascii="仿宋" w:hAnsi="仿宋" w:eastAsia="仿宋" w:cs="仿宋"/>
          <w:b w:val="0"/>
          <w:bCs w:val="0"/>
          <w:lang w:val="en-US" w:eastAsia="zh-CN"/>
        </w:rPr>
        <w:t>3</w:t>
      </w:r>
      <w:r>
        <w:rPr>
          <w:rFonts w:hint="eastAsia" w:ascii="仿宋" w:hAnsi="仿宋" w:cs="仿宋"/>
          <w:b w:val="0"/>
          <w:bCs w:val="0"/>
          <w:lang w:val="en-US" w:eastAsia="zh-CN"/>
        </w:rPr>
        <w:t>5个</w:t>
      </w:r>
      <w:r>
        <w:rPr>
          <w:rFonts w:hint="default" w:ascii="仿宋" w:hAnsi="仿宋" w:eastAsia="仿宋" w:cs="仿宋"/>
          <w:b w:val="0"/>
          <w:bCs w:val="0"/>
          <w:lang w:val="en-US" w:eastAsia="zh-CN"/>
        </w:rPr>
        <w:t>)</w:t>
      </w:r>
      <w:r>
        <w:rPr>
          <w:rFonts w:hint="default" w:ascii="Arial" w:hAnsi="Arial" w:eastAsia="仿宋" w:cs="Arial"/>
          <w:b w:val="0"/>
          <w:bCs w:val="0"/>
          <w:lang w:val="en-US" w:eastAsia="zh-CN"/>
        </w:rPr>
        <w:t>×</w:t>
      </w:r>
      <w:r>
        <w:rPr>
          <w:rFonts w:hint="default" w:ascii="仿宋" w:hAnsi="仿宋" w:eastAsia="仿宋" w:cs="仿宋"/>
          <w:b w:val="0"/>
          <w:bCs w:val="0"/>
          <w:lang w:val="en-US" w:eastAsia="zh-CN"/>
        </w:rPr>
        <w:t xml:space="preserve"> 100</w:t>
      </w:r>
      <w:r>
        <w:rPr>
          <w:rFonts w:hint="eastAsia" w:ascii="仿宋" w:hAnsi="仿宋" w:cs="仿宋"/>
          <w:b w:val="0"/>
          <w:bCs w:val="0"/>
          <w:lang w:val="en-US" w:eastAsia="zh-CN"/>
        </w:rPr>
        <w:t>%=100%，</w:t>
      </w:r>
      <w:r>
        <w:rPr>
          <w:rFonts w:hint="default" w:ascii="仿宋" w:hAnsi="仿宋" w:eastAsia="仿宋" w:cs="仿宋"/>
          <w:b w:val="0"/>
          <w:bCs w:val="0"/>
          <w:lang w:val="en-US" w:eastAsia="zh-CN"/>
        </w:rPr>
        <w:t>根据评分标准，该项指标得10分。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(2)采购网络专线及100M带宽(1</w:t>
      </w:r>
      <w:r>
        <w:rPr>
          <w:rFonts w:hint="eastAsia" w:ascii="仿宋" w:hAnsi="仿宋" w:cs="仿宋"/>
          <w:b w:val="0"/>
          <w:bCs w:val="0"/>
          <w:lang w:val="en-US" w:eastAsia="zh-CN"/>
        </w:rPr>
        <w:t>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实际采购网络专线用于不动产登记分窗口网络专线，同时为不动产</w:t>
      </w:r>
      <w:r>
        <w:rPr>
          <w:rFonts w:hint="eastAsia" w:ascii="仿宋" w:hAnsi="仿宋" w:cs="仿宋"/>
          <w:b w:val="0"/>
          <w:bCs w:val="0"/>
          <w:lang w:val="en-US" w:eastAsia="zh-CN"/>
        </w:rPr>
        <w:t>登</w:t>
      </w:r>
      <w:r>
        <w:rPr>
          <w:rFonts w:hint="default" w:ascii="仿宋" w:hAnsi="仿宋" w:eastAsia="仿宋" w:cs="仿宋"/>
          <w:b w:val="0"/>
          <w:bCs w:val="0"/>
          <w:lang w:val="en-US" w:eastAsia="zh-CN"/>
        </w:rPr>
        <w:t>记大楼财政VPDN通道提供10</w:t>
      </w:r>
      <w:r>
        <w:rPr>
          <w:rFonts w:hint="eastAsia" w:ascii="仿宋" w:hAnsi="仿宋" w:cs="仿宋"/>
          <w:b w:val="0"/>
          <w:bCs w:val="0"/>
          <w:lang w:val="en-US" w:eastAsia="zh-CN"/>
        </w:rPr>
        <w:t>0</w:t>
      </w:r>
      <w:r>
        <w:rPr>
          <w:rFonts w:hint="default" w:ascii="仿宋" w:hAnsi="仿宋" w:eastAsia="仿宋" w:cs="仿宋"/>
          <w:b w:val="0"/>
          <w:bCs w:val="0"/>
          <w:lang w:val="en-US" w:eastAsia="zh-CN"/>
        </w:rPr>
        <w:t>M带宽。确保了不动产登记分窗口工作的衔接性及有序性。根据评分标准，该项指标得1</w:t>
      </w:r>
      <w:r>
        <w:rPr>
          <w:rFonts w:hint="eastAsia" w:ascii="仿宋" w:hAnsi="仿宋" w:cs="仿宋"/>
          <w:b w:val="0"/>
          <w:bCs w:val="0"/>
          <w:lang w:val="en-US" w:eastAsia="zh-CN"/>
        </w:rPr>
        <w:t>0</w:t>
      </w:r>
      <w:r>
        <w:rPr>
          <w:rFonts w:hint="default" w:ascii="仿宋" w:hAnsi="仿宋" w:eastAsia="仿宋" w:cs="仿宋"/>
          <w:b w:val="0"/>
          <w:bCs w:val="0"/>
          <w:lang w:val="en-US" w:eastAsia="zh-CN"/>
        </w:rPr>
        <w:t>分。</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产出质量情况( 15分)</w:t>
      </w:r>
      <w:r>
        <w:rPr>
          <w:rFonts w:hint="eastAsia" w:ascii="仿宋" w:hAnsi="仿宋" w:cs="仿宋"/>
          <w:b/>
          <w:bCs/>
          <w:lang w:val="en-US" w:eastAsia="zh-CN"/>
        </w:rPr>
        <w:t>，</w:t>
      </w:r>
      <w:r>
        <w:rPr>
          <w:rFonts w:hint="default" w:ascii="仿宋" w:hAnsi="仿宋" w:eastAsia="仿宋" w:cs="仿宋"/>
          <w:b/>
          <w:bCs/>
          <w:lang w:val="en-US" w:eastAsia="zh-CN"/>
        </w:rPr>
        <w:t>该指标评</w:t>
      </w:r>
      <w:r>
        <w:rPr>
          <w:rFonts w:hint="eastAsia" w:ascii="仿宋" w:hAnsi="仿宋" w:cs="仿宋"/>
          <w:b/>
          <w:bCs/>
          <w:lang w:val="en-US" w:eastAsia="zh-CN"/>
        </w:rPr>
        <w:t>价</w:t>
      </w:r>
      <w:r>
        <w:rPr>
          <w:rFonts w:hint="default" w:ascii="仿宋" w:hAnsi="仿宋" w:eastAsia="仿宋" w:cs="仿宋"/>
          <w:b/>
          <w:bCs/>
          <w:lang w:val="en-US" w:eastAsia="zh-CN"/>
        </w:rPr>
        <w:t>得分为1</w:t>
      </w:r>
      <w:r>
        <w:rPr>
          <w:rFonts w:hint="eastAsia" w:ascii="仿宋" w:hAnsi="仿宋" w:cs="仿宋"/>
          <w:b/>
          <w:bCs/>
          <w:lang w:val="en-US" w:eastAsia="zh-CN"/>
        </w:rPr>
        <w:t>5</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(1)设备验收合格率(1</w:t>
      </w:r>
      <w:r>
        <w:rPr>
          <w:rFonts w:hint="eastAsia" w:ascii="仿宋" w:hAnsi="仿宋" w:cs="仿宋"/>
          <w:b w:val="0"/>
          <w:bCs w:val="0"/>
          <w:lang w:val="en-US" w:eastAsia="zh-CN"/>
        </w:rPr>
        <w:t>5</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购买的各项设备及网络专线均符合合同约定及相关标准，验收</w:t>
      </w:r>
      <w:r>
        <w:rPr>
          <w:rFonts w:hint="eastAsia" w:ascii="仿宋" w:hAnsi="仿宋" w:cs="仿宋"/>
          <w:b w:val="0"/>
          <w:bCs w:val="0"/>
          <w:lang w:val="en-US" w:eastAsia="zh-CN"/>
        </w:rPr>
        <w:t>基本</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达标，根据评分标准，该项指标得1</w:t>
      </w:r>
      <w:r>
        <w:rPr>
          <w:rFonts w:hint="eastAsia" w:ascii="仿宋" w:hAnsi="仿宋" w:cs="仿宋"/>
          <w:b w:val="0"/>
          <w:bCs w:val="0"/>
          <w:lang w:val="en-US" w:eastAsia="zh-CN"/>
        </w:rPr>
        <w:t>5</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3、产出时效情况(5分)，该项指标得5分。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截至</w:t>
      </w:r>
      <w:r>
        <w:rPr>
          <w:rFonts w:hint="default" w:ascii="仿宋" w:hAnsi="仿宋" w:eastAsia="仿宋" w:cs="仿宋"/>
          <w:b w:val="0"/>
          <w:bCs w:val="0"/>
          <w:lang w:val="en-US" w:eastAsia="zh-CN"/>
        </w:rPr>
        <w:t>201</w:t>
      </w:r>
      <w:r>
        <w:rPr>
          <w:rFonts w:hint="eastAsia" w:ascii="仿宋" w:hAnsi="仿宋" w:cs="仿宋"/>
          <w:b w:val="0"/>
          <w:bCs w:val="0"/>
          <w:lang w:val="en-US" w:eastAsia="zh-CN"/>
        </w:rPr>
        <w:t>9</w:t>
      </w:r>
      <w:r>
        <w:rPr>
          <w:rFonts w:hint="default" w:ascii="仿宋" w:hAnsi="仿宋" w:eastAsia="仿宋" w:cs="仿宋"/>
          <w:b w:val="0"/>
          <w:bCs w:val="0"/>
          <w:lang w:val="en-US" w:eastAsia="zh-CN"/>
        </w:rPr>
        <w:t>年底，全面按时完成工作目标，该项指标得5分。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4、产出成本情况(</w:t>
      </w:r>
      <w:r>
        <w:rPr>
          <w:rFonts w:hint="eastAsia" w:ascii="仿宋" w:hAnsi="仿宋" w:cs="仿宋"/>
          <w:b/>
          <w:bCs/>
          <w:lang w:val="en-US" w:eastAsia="zh-CN"/>
        </w:rPr>
        <w:t>10</w:t>
      </w:r>
      <w:r>
        <w:rPr>
          <w:rFonts w:hint="default" w:ascii="仿宋" w:hAnsi="仿宋" w:eastAsia="仿宋" w:cs="仿宋"/>
          <w:b/>
          <w:bCs/>
          <w:lang w:val="en-US" w:eastAsia="zh-CN"/>
        </w:rPr>
        <w:t>分)，该项指标评价得分为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该项目实际支出13.4</w:t>
      </w:r>
      <w:r>
        <w:rPr>
          <w:rFonts w:hint="eastAsia" w:ascii="仿宋" w:hAnsi="仿宋" w:cs="仿宋"/>
          <w:b w:val="0"/>
          <w:bCs w:val="0"/>
          <w:lang w:val="en-US" w:eastAsia="zh-CN"/>
        </w:rPr>
        <w:t>812</w:t>
      </w:r>
      <w:r>
        <w:rPr>
          <w:rFonts w:hint="default" w:ascii="仿宋" w:hAnsi="仿宋" w:eastAsia="仿宋" w:cs="仿宋"/>
          <w:b w:val="0"/>
          <w:bCs w:val="0"/>
          <w:lang w:val="en-US" w:eastAsia="zh-CN"/>
        </w:rPr>
        <w:t>万元，</w:t>
      </w:r>
      <w:r>
        <w:rPr>
          <w:rFonts w:hint="eastAsia" w:ascii="仿宋" w:hAnsi="仿宋" w:cs="仿宋"/>
          <w:b w:val="0"/>
          <w:bCs w:val="0"/>
          <w:lang w:val="en-US" w:eastAsia="zh-CN"/>
        </w:rPr>
        <w:t>控制</w:t>
      </w:r>
      <w:r>
        <w:rPr>
          <w:rFonts w:hint="default" w:ascii="仿宋" w:hAnsi="仿宋" w:eastAsia="仿宋" w:cs="仿宋"/>
          <w:b w:val="0"/>
          <w:bCs w:val="0"/>
          <w:lang w:val="en-US" w:eastAsia="zh-CN"/>
        </w:rPr>
        <w:t>在预算安排资金16.1万元范围内</w:t>
      </w:r>
      <w:r>
        <w:rPr>
          <w:rFonts w:hint="eastAsia" w:ascii="仿宋" w:hAnsi="仿宋" w:cs="仿宋"/>
          <w:b w:val="0"/>
          <w:bCs w:val="0"/>
          <w:lang w:val="en-US" w:eastAsia="zh-CN"/>
        </w:rPr>
        <w:t>，</w:t>
      </w:r>
      <w:r>
        <w:rPr>
          <w:rFonts w:hint="default" w:ascii="仿宋" w:hAnsi="仿宋" w:eastAsia="仿宋" w:cs="仿宋"/>
          <w:b w:val="0"/>
          <w:bCs w:val="0"/>
          <w:lang w:val="en-US" w:eastAsia="zh-CN"/>
        </w:rPr>
        <w:t>该项指标得5分。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b/>
          <w:bCs/>
          <w:lang w:val="en-US" w:eastAsia="zh-CN"/>
        </w:rPr>
      </w:pPr>
      <w:r>
        <w:rPr>
          <w:rFonts w:hint="default" w:ascii="仿宋" w:hAnsi="仿宋" w:eastAsia="仿宋" w:cs="仿宋"/>
          <w:b/>
          <w:bCs/>
          <w:lang w:val="en-US" w:eastAsia="zh-CN"/>
        </w:rPr>
        <w:t>(四)项目</w:t>
      </w:r>
      <w:r>
        <w:rPr>
          <w:rFonts w:hint="eastAsia" w:ascii="仿宋" w:hAnsi="仿宋" w:cs="仿宋"/>
          <w:b/>
          <w:bCs/>
          <w:lang w:val="en-US" w:eastAsia="zh-CN"/>
        </w:rPr>
        <w:t>效益情况</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1、社会效益(</w:t>
      </w:r>
      <w:r>
        <w:rPr>
          <w:rFonts w:hint="eastAsia" w:ascii="仿宋" w:hAnsi="仿宋" w:cs="仿宋"/>
          <w:b/>
          <w:bCs/>
          <w:lang w:val="en-US" w:eastAsia="zh-CN"/>
        </w:rPr>
        <w:t>20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(1)增设不动产登记窗口快捷有效缓解我市不动产抵押登记业务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受理量过大的难题，办事群众大部分反映业务办理等待时间明显缩短，</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该项指标得</w:t>
      </w:r>
      <w:r>
        <w:rPr>
          <w:rFonts w:hint="eastAsia" w:ascii="仿宋" w:hAnsi="仿宋" w:cs="仿宋"/>
          <w:b w:val="0"/>
          <w:bCs w:val="0"/>
          <w:lang w:val="en-US" w:eastAsia="zh-CN"/>
        </w:rPr>
        <w:t>9</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(2)不动产登记窗口业务办理效率得到了有效提高，不存在不动产抵押类业务超承诺时限办结的现象，该项指标得</w:t>
      </w:r>
      <w:r>
        <w:rPr>
          <w:rFonts w:hint="eastAsia" w:ascii="仿宋" w:hAnsi="仿宋" w:cs="仿宋"/>
          <w:b w:val="0"/>
          <w:bCs w:val="0"/>
          <w:lang w:val="en-US" w:eastAsia="zh-CN"/>
        </w:rPr>
        <w:t>9</w:t>
      </w:r>
      <w:r>
        <w:rPr>
          <w:rFonts w:hint="default" w:ascii="仿宋" w:hAnsi="仿宋" w:eastAsia="仿宋" w:cs="仿宋"/>
          <w:b w:val="0"/>
          <w:bCs w:val="0"/>
          <w:lang w:val="en-US" w:eastAsia="zh-CN"/>
        </w:rPr>
        <w:t>分</w:t>
      </w:r>
      <w:r>
        <w:rPr>
          <w:rFonts w:hint="eastAsia" w:ascii="仿宋" w:hAnsi="仿宋" w:cs="仿宋"/>
          <w:b w:val="0"/>
          <w:bCs w:val="0"/>
          <w:lang w:val="en-US" w:eastAsia="zh-CN"/>
        </w:rPr>
        <w:t>，复评分8分</w:t>
      </w:r>
      <w:r>
        <w:rPr>
          <w:rFonts w:hint="default" w:ascii="仿宋" w:hAnsi="仿宋" w:eastAsia="仿宋" w:cs="仿宋"/>
          <w:b w:val="0"/>
          <w:bCs w:val="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ascii="仿宋" w:hAnsi="仿宋" w:eastAsia="仿宋" w:cs="仿宋"/>
          <w:b w:val="0"/>
          <w:bCs w:val="0"/>
          <w:lang w:val="en-US" w:eastAsia="zh-CN"/>
        </w:rPr>
      </w:pPr>
      <w:r>
        <w:rPr>
          <w:rFonts w:hint="default" w:ascii="仿宋" w:hAnsi="仿宋" w:eastAsia="仿宋" w:cs="仿宋"/>
          <w:b/>
          <w:bCs/>
          <w:highlight w:val="none"/>
          <w:lang w:val="en-US" w:eastAsia="zh-CN"/>
        </w:rPr>
        <w:t>2、可持续影响(</w:t>
      </w:r>
      <w:r>
        <w:rPr>
          <w:rFonts w:hint="eastAsia" w:ascii="仿宋" w:hAnsi="仿宋" w:cs="仿宋"/>
          <w:b/>
          <w:bCs/>
          <w:highlight w:val="none"/>
          <w:lang w:val="en-US" w:eastAsia="zh-CN"/>
        </w:rPr>
        <w:t>10</w:t>
      </w:r>
      <w:r>
        <w:rPr>
          <w:rFonts w:hint="default" w:ascii="仿宋" w:hAnsi="仿宋" w:eastAsia="仿宋" w:cs="仿宋"/>
          <w:b/>
          <w:bCs/>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采购的光纤网络专线、监控设施硬盘等运行状况良好，无过度损耗情况，该项指标得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b/>
          <w:bCs/>
          <w:lang w:val="en-US" w:eastAsia="zh-CN"/>
        </w:rPr>
      </w:pPr>
      <w:r>
        <w:rPr>
          <w:rFonts w:hint="default" w:ascii="仿宋" w:hAnsi="仿宋" w:eastAsia="仿宋" w:cs="仿宋"/>
          <w:b/>
          <w:bCs/>
          <w:lang w:val="en-US" w:eastAsia="zh-CN"/>
        </w:rPr>
        <w:t>(五)项目满意度(</w:t>
      </w:r>
      <w:r>
        <w:rPr>
          <w:rFonts w:hint="eastAsia" w:ascii="仿宋" w:hAnsi="仿宋" w:cs="仿宋"/>
          <w:b/>
          <w:bCs/>
          <w:lang w:val="en-US" w:eastAsia="zh-CN"/>
        </w:rPr>
        <w:t>10</w:t>
      </w:r>
      <w:r>
        <w:rPr>
          <w:rFonts w:hint="default" w:ascii="仿宋" w:hAnsi="仿宋" w:eastAsia="仿宋" w:cs="仿宋"/>
          <w:b/>
          <w:bCs/>
          <w:lang w:val="en-US" w:eastAsia="zh-CN"/>
        </w:rPr>
        <w:t>分)，根据评价原则，满意度评价得分为</w:t>
      </w:r>
      <w:r>
        <w:rPr>
          <w:rFonts w:hint="eastAsia" w:ascii="仿宋" w:hAnsi="仿宋" w:cs="仿宋"/>
          <w:b/>
          <w:bCs/>
          <w:lang w:val="en-US" w:eastAsia="zh-CN"/>
        </w:rPr>
        <w:t>9</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通过本单位发放的调查问卷结果显示，社会公众或服务对象满意度90%</w:t>
      </w:r>
      <w:r>
        <w:rPr>
          <w:rFonts w:hint="eastAsia" w:ascii="仿宋" w:hAnsi="仿宋" w:cs="仿宋"/>
          <w:b w:val="0"/>
          <w:bCs w:val="0"/>
          <w:lang w:val="en-US" w:eastAsia="zh-CN"/>
        </w:rPr>
        <w:t>以上</w:t>
      </w:r>
      <w:r>
        <w:rPr>
          <w:rFonts w:hint="default" w:ascii="仿宋" w:hAnsi="仿宋" w:eastAsia="仿宋" w:cs="仿宋"/>
          <w:b w:val="0"/>
          <w:bCs w:val="0"/>
          <w:lang w:val="en-US" w:eastAsia="zh-CN"/>
        </w:rPr>
        <w:t>，该项指标得</w:t>
      </w:r>
      <w:r>
        <w:rPr>
          <w:rFonts w:hint="eastAsia" w:ascii="仿宋" w:hAnsi="仿宋" w:cs="仿宋"/>
          <w:b w:val="0"/>
          <w:bCs w:val="0"/>
          <w:lang w:val="en-US" w:eastAsia="zh-CN"/>
        </w:rPr>
        <w:t>9</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五、</w:t>
      </w:r>
      <w:r>
        <w:rPr>
          <w:rFonts w:hint="eastAsia" w:ascii="仿宋" w:hAnsi="仿宋" w:cs="仿宋"/>
          <w:b/>
          <w:bCs/>
          <w:sz w:val="32"/>
          <w:szCs w:val="32"/>
          <w:lang w:val="en-US" w:eastAsia="zh-CN"/>
        </w:rPr>
        <w:t>主要经验及做法、存在的问题及原因分析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b/>
          <w:bCs/>
          <w:lang w:val="en-US" w:eastAsia="zh-CN"/>
        </w:rPr>
      </w:pPr>
      <w:r>
        <w:rPr>
          <w:rFonts w:hint="eastAsia" w:ascii="仿宋" w:hAnsi="仿宋" w:cs="仿宋"/>
          <w:b/>
          <w:bCs/>
          <w:lang w:val="en-US" w:eastAsia="zh-CN"/>
        </w:rPr>
        <w:t>（一）</w:t>
      </w:r>
      <w:r>
        <w:rPr>
          <w:rFonts w:hint="default" w:ascii="仿宋" w:hAnsi="仿宋" w:eastAsia="仿宋" w:cs="仿宋"/>
          <w:b/>
          <w:bCs/>
          <w:lang w:val="en-US" w:eastAsia="zh-CN"/>
        </w:rPr>
        <w:t>主要经验及做法: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通过政府采购平台</w:t>
      </w:r>
      <w:r>
        <w:rPr>
          <w:rFonts w:hint="eastAsia" w:ascii="仿宋" w:hAnsi="仿宋" w:cs="仿宋"/>
          <w:b w:val="0"/>
          <w:bCs w:val="0"/>
          <w:lang w:val="en-US" w:eastAsia="zh-CN"/>
        </w:rPr>
        <w:t>，</w:t>
      </w:r>
      <w:r>
        <w:rPr>
          <w:rFonts w:hint="default" w:ascii="仿宋" w:hAnsi="仿宋" w:eastAsia="仿宋" w:cs="仿宋"/>
          <w:b w:val="0"/>
          <w:bCs w:val="0"/>
          <w:lang w:val="en-US" w:eastAsia="zh-CN"/>
        </w:rPr>
        <w:t>为东湖区、西湖区、青云谱区、青山湖区四个城区行政服务中心增设的不动产登记窗口购买光纤网络专线、监控硬盘设施、办公设备等，为不动产登记窗口提供强有力的设备和信息技术保障，提高不动产登记窗口的业务办理能力，使得群众在不动产登记中享受到更为便捷、高效的服务。</w:t>
      </w:r>
    </w:p>
    <w:p>
      <w:pPr>
        <w:keepNext w:val="0"/>
        <w:keepLines w:val="0"/>
        <w:pageBreakBefore w:val="0"/>
        <w:widowControl w:val="0"/>
        <w:numPr>
          <w:ilvl w:val="0"/>
          <w:numId w:val="7"/>
        </w:numPr>
        <w:kinsoku/>
        <w:wordWrap/>
        <w:overflowPunct/>
        <w:topLinePunct w:val="0"/>
        <w:autoSpaceDE/>
        <w:autoSpaceDN/>
        <w:bidi w:val="0"/>
        <w:adjustRightInd/>
        <w:snapToGrid/>
        <w:ind w:leftChars="-20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存在的问题:</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2" w:firstLineChars="200"/>
        <w:textAlignment w:val="auto"/>
        <w:rPr>
          <w:rFonts w:hint="default" w:ascii="仿宋" w:hAnsi="仿宋" w:eastAsia="仿宋" w:cs="仿宋"/>
          <w:b w:val="0"/>
          <w:bCs w:val="0"/>
          <w:lang w:val="en-US" w:eastAsia="zh-CN"/>
        </w:rPr>
      </w:pPr>
      <w:r>
        <w:rPr>
          <w:rFonts w:hint="eastAsia" w:ascii="仿宋" w:hAnsi="仿宋" w:cs="仿宋"/>
          <w:b/>
          <w:bCs/>
          <w:lang w:val="en-US" w:eastAsia="zh-CN"/>
        </w:rPr>
        <w:t xml:space="preserve"> </w:t>
      </w:r>
      <w:r>
        <w:rPr>
          <w:rFonts w:hint="eastAsia" w:ascii="仿宋" w:hAnsi="仿宋" w:cs="仿宋"/>
          <w:b w:val="0"/>
          <w:bCs w:val="0"/>
          <w:lang w:val="en-US" w:eastAsia="zh-CN"/>
        </w:rPr>
        <w:t>随着不动产登记业务办理的日渐增多，现有100M网络光纤和监控设备数量难以满足分窗口不动产业务办理需求</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b w:val="0"/>
          <w:bCs/>
          <w:szCs w:val="28"/>
          <w:lang w:val="en-US" w:eastAsia="zh-CN"/>
        </w:rPr>
      </w:pPr>
      <w:r>
        <w:rPr>
          <w:rFonts w:hint="default" w:ascii="仿宋" w:hAnsi="仿宋" w:eastAsia="仿宋" w:cs="仿宋"/>
          <w:b/>
          <w:bCs/>
          <w:sz w:val="32"/>
          <w:szCs w:val="32"/>
          <w:lang w:val="en-US" w:eastAsia="zh-CN"/>
        </w:rPr>
        <w:t>六、</w:t>
      </w:r>
      <w:r>
        <w:rPr>
          <w:rFonts w:hint="eastAsia" w:ascii="仿宋" w:hAnsi="仿宋" w:cs="仿宋"/>
          <w:b/>
          <w:bCs/>
          <w:sz w:val="32"/>
          <w:szCs w:val="32"/>
          <w:lang w:val="en-US" w:eastAsia="zh-CN"/>
        </w:rPr>
        <w:t>有关建议</w:t>
      </w:r>
    </w:p>
    <w:p>
      <w:pPr>
        <w:spacing w:line="240" w:lineRule="auto"/>
        <w:jc w:val="left"/>
        <w:rPr>
          <w:rFonts w:hint="default" w:ascii="仿宋" w:hAnsi="仿宋" w:eastAsia="仿宋"/>
          <w:b w:val="0"/>
          <w:bCs/>
          <w:szCs w:val="28"/>
          <w:lang w:val="en-US" w:eastAsia="zh-CN"/>
        </w:rPr>
      </w:pPr>
      <w:r>
        <w:rPr>
          <w:rFonts w:hint="eastAsia" w:ascii="仿宋" w:hAnsi="仿宋"/>
          <w:b w:val="0"/>
          <w:bCs/>
          <w:szCs w:val="28"/>
          <w:lang w:val="en-US" w:eastAsia="zh-CN"/>
        </w:rPr>
        <w:t>未来须请求增加财政经费支持力度，提升网络宽带网速、增加监控设备数量，以保障分窗口不动产登记业务的正常办理。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cs="仿宋"/>
          <w:b/>
          <w:bCs/>
          <w:sz w:val="32"/>
          <w:szCs w:val="32"/>
          <w:lang w:val="en-US" w:eastAsia="zh-CN"/>
        </w:rPr>
      </w:pPr>
    </w:p>
    <w:p>
      <w:pPr>
        <w:spacing w:line="240" w:lineRule="auto"/>
        <w:ind w:firstLine="1124" w:firstLineChars="400"/>
        <w:jc w:val="left"/>
        <w:rPr>
          <w:rFonts w:ascii="仿宋" w:hAnsi="仿宋"/>
          <w:b/>
          <w:szCs w:val="28"/>
        </w:rPr>
      </w:pPr>
    </w:p>
    <w:sectPr>
      <w:headerReference r:id="rId3" w:type="default"/>
      <w:footerReference r:id="rId4" w:type="default"/>
      <w:pgSz w:w="12240" w:h="15840"/>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665832"/>
      <w:docPartObj>
        <w:docPartGallery w:val="autotext"/>
      </w:docPartObj>
    </w:sdtPr>
    <w:sdtContent>
      <w:p>
        <w:pPr>
          <w:pStyle w:val="7"/>
          <w:ind w:firstLine="360"/>
          <w:jc w:val="center"/>
        </w:pPr>
        <w:r>
          <w:fldChar w:fldCharType="begin"/>
        </w:r>
        <w:r>
          <w:instrText xml:space="preserve">PAGE   \* MERGEFORMAT</w:instrText>
        </w:r>
        <w:r>
          <w:fldChar w:fldCharType="separate"/>
        </w:r>
        <w:r>
          <w:rPr>
            <w:lang w:val="zh-CN"/>
          </w:rPr>
          <w:t>I</w:t>
        </w:r>
        <w:r>
          <w:fldChar w:fldCharType="end"/>
        </w:r>
      </w:p>
    </w:sdtContent>
  </w:sdt>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t>中心城区增设不动产登记窗口所需设备购买经费自评报告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B6B9A4"/>
    <w:multiLevelType w:val="singleLevel"/>
    <w:tmpl w:val="CBB6B9A4"/>
    <w:lvl w:ilvl="0" w:tentative="0">
      <w:start w:val="3"/>
      <w:numFmt w:val="chineseCounting"/>
      <w:suff w:val="nothing"/>
      <w:lvlText w:val="%1、"/>
      <w:lvlJc w:val="left"/>
      <w:rPr>
        <w:rFonts w:hint="eastAsia"/>
      </w:rPr>
    </w:lvl>
  </w:abstractNum>
  <w:abstractNum w:abstractNumId="1">
    <w:nsid w:val="F7EF5FEE"/>
    <w:multiLevelType w:val="singleLevel"/>
    <w:tmpl w:val="F7EF5FEE"/>
    <w:lvl w:ilvl="0" w:tentative="0">
      <w:start w:val="2"/>
      <w:numFmt w:val="decimal"/>
      <w:suff w:val="nothing"/>
      <w:lvlText w:val="%1、"/>
      <w:lvlJc w:val="left"/>
    </w:lvl>
  </w:abstractNum>
  <w:abstractNum w:abstractNumId="2">
    <w:nsid w:val="F80FBDE2"/>
    <w:multiLevelType w:val="singleLevel"/>
    <w:tmpl w:val="F80FBDE2"/>
    <w:lvl w:ilvl="0" w:tentative="0">
      <w:start w:val="1"/>
      <w:numFmt w:val="decimal"/>
      <w:suff w:val="nothing"/>
      <w:lvlText w:val="（%1）"/>
      <w:lvlJc w:val="left"/>
    </w:lvl>
  </w:abstractNum>
  <w:abstractNum w:abstractNumId="3">
    <w:nsid w:val="FDD500BD"/>
    <w:multiLevelType w:val="singleLevel"/>
    <w:tmpl w:val="FDD500BD"/>
    <w:lvl w:ilvl="0" w:tentative="0">
      <w:start w:val="1"/>
      <w:numFmt w:val="decimal"/>
      <w:suff w:val="nothing"/>
      <w:lvlText w:val="%1、"/>
      <w:lvlJc w:val="left"/>
    </w:lvl>
  </w:abstractNum>
  <w:abstractNum w:abstractNumId="4">
    <w:nsid w:val="2264A9DA"/>
    <w:multiLevelType w:val="singleLevel"/>
    <w:tmpl w:val="2264A9DA"/>
    <w:lvl w:ilvl="0" w:tentative="0">
      <w:start w:val="2"/>
      <w:numFmt w:val="chineseCounting"/>
      <w:suff w:val="space"/>
      <w:lvlText w:val="（%1）"/>
      <w:lvlJc w:val="left"/>
      <w:rPr>
        <w:rFonts w:hint="eastAsia"/>
      </w:rPr>
    </w:lvl>
  </w:abstractNum>
  <w:abstractNum w:abstractNumId="5">
    <w:nsid w:val="4162F27F"/>
    <w:multiLevelType w:val="singleLevel"/>
    <w:tmpl w:val="4162F27F"/>
    <w:lvl w:ilvl="0" w:tentative="0">
      <w:start w:val="1"/>
      <w:numFmt w:val="decimal"/>
      <w:suff w:val="nothing"/>
      <w:lvlText w:val="（%1）"/>
      <w:lvlJc w:val="left"/>
    </w:lvl>
  </w:abstractNum>
  <w:abstractNum w:abstractNumId="6">
    <w:nsid w:val="6DFCFB38"/>
    <w:multiLevelType w:val="singleLevel"/>
    <w:tmpl w:val="6DFCFB38"/>
    <w:lvl w:ilvl="0" w:tentative="0">
      <w:start w:val="2"/>
      <w:numFmt w:val="chineseCounting"/>
      <w:lvlText w:val="(%1)"/>
      <w:lvlJc w:val="left"/>
      <w:pPr>
        <w:tabs>
          <w:tab w:val="left" w:pos="312"/>
        </w:tabs>
      </w:pPr>
      <w:rPr>
        <w:rFonts w:hint="eastAsia"/>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63"/>
    <w:rsid w:val="00013247"/>
    <w:rsid w:val="00042CCF"/>
    <w:rsid w:val="000510C0"/>
    <w:rsid w:val="00055BE0"/>
    <w:rsid w:val="00070837"/>
    <w:rsid w:val="00073649"/>
    <w:rsid w:val="00087A3F"/>
    <w:rsid w:val="00087AD8"/>
    <w:rsid w:val="000A1304"/>
    <w:rsid w:val="000D771B"/>
    <w:rsid w:val="0010338B"/>
    <w:rsid w:val="001125E8"/>
    <w:rsid w:val="00144E86"/>
    <w:rsid w:val="001D661F"/>
    <w:rsid w:val="001E1D32"/>
    <w:rsid w:val="001E2811"/>
    <w:rsid w:val="00263998"/>
    <w:rsid w:val="00277AE5"/>
    <w:rsid w:val="0028547D"/>
    <w:rsid w:val="002B61D7"/>
    <w:rsid w:val="00330AE8"/>
    <w:rsid w:val="0033519E"/>
    <w:rsid w:val="00351516"/>
    <w:rsid w:val="003B656B"/>
    <w:rsid w:val="003C4723"/>
    <w:rsid w:val="003C6E7C"/>
    <w:rsid w:val="003D16DA"/>
    <w:rsid w:val="003D38D7"/>
    <w:rsid w:val="0041433C"/>
    <w:rsid w:val="00447B29"/>
    <w:rsid w:val="0046329A"/>
    <w:rsid w:val="004E644E"/>
    <w:rsid w:val="004F4DEE"/>
    <w:rsid w:val="0054519E"/>
    <w:rsid w:val="00564C31"/>
    <w:rsid w:val="005D17BE"/>
    <w:rsid w:val="005E1424"/>
    <w:rsid w:val="006310AF"/>
    <w:rsid w:val="00662689"/>
    <w:rsid w:val="006917A9"/>
    <w:rsid w:val="006F4C66"/>
    <w:rsid w:val="00701B5E"/>
    <w:rsid w:val="007429D3"/>
    <w:rsid w:val="0078069E"/>
    <w:rsid w:val="007B6D47"/>
    <w:rsid w:val="007D3DF4"/>
    <w:rsid w:val="007D3E52"/>
    <w:rsid w:val="007E6A6B"/>
    <w:rsid w:val="007F46B0"/>
    <w:rsid w:val="007F768B"/>
    <w:rsid w:val="008206FB"/>
    <w:rsid w:val="00832317"/>
    <w:rsid w:val="00837815"/>
    <w:rsid w:val="0087303B"/>
    <w:rsid w:val="008765D7"/>
    <w:rsid w:val="00881CDA"/>
    <w:rsid w:val="008B3FA1"/>
    <w:rsid w:val="008D6708"/>
    <w:rsid w:val="008E3757"/>
    <w:rsid w:val="008E5C18"/>
    <w:rsid w:val="009125BD"/>
    <w:rsid w:val="00951470"/>
    <w:rsid w:val="0097107D"/>
    <w:rsid w:val="00985BF8"/>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F4647"/>
    <w:rsid w:val="00C01EDF"/>
    <w:rsid w:val="00C16AEE"/>
    <w:rsid w:val="00C35F63"/>
    <w:rsid w:val="00C414FA"/>
    <w:rsid w:val="00C80107"/>
    <w:rsid w:val="00C81493"/>
    <w:rsid w:val="00C85ED8"/>
    <w:rsid w:val="00CA7BF4"/>
    <w:rsid w:val="00CC32A1"/>
    <w:rsid w:val="00D04838"/>
    <w:rsid w:val="00D169C7"/>
    <w:rsid w:val="00D23934"/>
    <w:rsid w:val="00D33BBB"/>
    <w:rsid w:val="00D8080E"/>
    <w:rsid w:val="00DB4E99"/>
    <w:rsid w:val="00DC6FAF"/>
    <w:rsid w:val="00E77C10"/>
    <w:rsid w:val="00E82BB8"/>
    <w:rsid w:val="00EE309E"/>
    <w:rsid w:val="00EF3DC4"/>
    <w:rsid w:val="00F61610"/>
    <w:rsid w:val="00F7379B"/>
    <w:rsid w:val="00F8650E"/>
    <w:rsid w:val="00FC7E97"/>
    <w:rsid w:val="00FD1D35"/>
    <w:rsid w:val="00FE2648"/>
    <w:rsid w:val="07172A35"/>
    <w:rsid w:val="0A6B7438"/>
    <w:rsid w:val="0B682FFA"/>
    <w:rsid w:val="0EBC6B7C"/>
    <w:rsid w:val="0F574EAA"/>
    <w:rsid w:val="15443624"/>
    <w:rsid w:val="1DD9160F"/>
    <w:rsid w:val="22B70005"/>
    <w:rsid w:val="28BA51E4"/>
    <w:rsid w:val="29875427"/>
    <w:rsid w:val="2F620B1F"/>
    <w:rsid w:val="30F871AB"/>
    <w:rsid w:val="349404DE"/>
    <w:rsid w:val="35DF6E22"/>
    <w:rsid w:val="37CD3A8A"/>
    <w:rsid w:val="3D7954BD"/>
    <w:rsid w:val="4CFF6E6F"/>
    <w:rsid w:val="50193F22"/>
    <w:rsid w:val="519F095F"/>
    <w:rsid w:val="52B42AE0"/>
    <w:rsid w:val="59A034F4"/>
    <w:rsid w:val="5B0B37F5"/>
    <w:rsid w:val="5C1E6F53"/>
    <w:rsid w:val="61BC7BC5"/>
    <w:rsid w:val="64126C6F"/>
    <w:rsid w:val="69FE63D9"/>
    <w:rsid w:val="7369434C"/>
    <w:rsid w:val="79FF3ABA"/>
    <w:rsid w:val="7D2B04CE"/>
    <w:rsid w:val="7EBA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qFormat/>
    <w:uiPriority w:val="9"/>
    <w:pPr>
      <w:keepNext/>
      <w:keepLines/>
      <w:spacing w:line="576" w:lineRule="auto"/>
      <w:ind w:firstLine="0" w:firstLineChars="0"/>
      <w:jc w:val="center"/>
      <w:outlineLvl w:val="0"/>
    </w:pPr>
    <w:rPr>
      <w:rFonts w:eastAsia="黑体"/>
      <w:b/>
      <w:kern w:val="44"/>
      <w:sz w:val="44"/>
    </w:rPr>
  </w:style>
  <w:style w:type="paragraph" w:styleId="3">
    <w:name w:val="heading 2"/>
    <w:basedOn w:val="1"/>
    <w:next w:val="1"/>
    <w:link w:val="15"/>
    <w:unhideWhenUsed/>
    <w:qFormat/>
    <w:uiPriority w:val="9"/>
    <w:pPr>
      <w:keepNext/>
      <w:keepLines/>
      <w:spacing w:before="50" w:beforeLines="50" w:after="50" w:afterLines="50"/>
      <w:ind w:firstLine="0" w:firstLineChars="0"/>
      <w:jc w:val="left"/>
      <w:outlineLvl w:val="1"/>
    </w:pPr>
    <w:rPr>
      <w:rFonts w:ascii="仿宋" w:hAnsi="仿宋" w:cstheme="majorBidi"/>
      <w:b/>
      <w:bCs/>
      <w:sz w:val="32"/>
      <w:szCs w:val="32"/>
    </w:rPr>
  </w:style>
  <w:style w:type="paragraph" w:styleId="4">
    <w:name w:val="heading 3"/>
    <w:basedOn w:val="1"/>
    <w:next w:val="1"/>
    <w:unhideWhenUsed/>
    <w:qFormat/>
    <w:uiPriority w:val="9"/>
    <w:pPr>
      <w:keepNext/>
      <w:keepLines/>
      <w:outlineLvl w:val="2"/>
    </w:pPr>
    <w:rPr>
      <w:b/>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tabs>
        <w:tab w:val="left" w:pos="1823"/>
        <w:tab w:val="right" w:leader="dot" w:pos="8630"/>
      </w:tabs>
      <w:ind w:left="1120" w:leftChars="400"/>
    </w:pPr>
  </w:style>
  <w:style w:type="paragraph" w:styleId="6">
    <w:name w:val="Balloon Text"/>
    <w:basedOn w:val="1"/>
    <w:link w:val="20"/>
    <w:semiHidden/>
    <w:unhideWhenUsed/>
    <w:qFormat/>
    <w:uiPriority w:val="99"/>
    <w:pPr>
      <w:spacing w:line="240" w:lineRule="auto"/>
    </w:pPr>
    <w:rPr>
      <w:sz w:val="18"/>
      <w:szCs w:val="18"/>
    </w:rPr>
  </w:style>
  <w:style w:type="paragraph" w:styleId="7">
    <w:name w:val="footer"/>
    <w:basedOn w:val="1"/>
    <w:link w:val="17"/>
    <w:unhideWhenUsed/>
    <w:qFormat/>
    <w:uiPriority w:val="99"/>
    <w:pPr>
      <w:tabs>
        <w:tab w:val="center" w:pos="4320"/>
        <w:tab w:val="right" w:pos="8640"/>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320"/>
        <w:tab w:val="right" w:pos="8640"/>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标题 2 Char"/>
    <w:basedOn w:val="13"/>
    <w:link w:val="3"/>
    <w:qFormat/>
    <w:uiPriority w:val="9"/>
    <w:rPr>
      <w:rFonts w:ascii="仿宋" w:hAnsi="仿宋" w:eastAsia="仿宋" w:cstheme="majorBidi"/>
      <w:b/>
      <w:bCs/>
      <w:sz w:val="32"/>
      <w:szCs w:val="32"/>
    </w:r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paragraph" w:styleId="18">
    <w:name w:val="List Paragraph"/>
    <w:basedOn w:val="1"/>
    <w:qFormat/>
    <w:uiPriority w:val="0"/>
    <w:pPr>
      <w:ind w:firstLine="420"/>
    </w:pPr>
    <w:rPr>
      <w:rFonts w:ascii="Calibri" w:hAnsi="Calibri"/>
    </w:rPr>
  </w:style>
  <w:style w:type="paragraph" w:customStyle="1" w:styleId="19">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0">
    <w:name w:val="批注框文本 Char"/>
    <w:basedOn w:val="13"/>
    <w:link w:val="6"/>
    <w:semiHidden/>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4702F-6217-49A1-AA5E-A0865F37672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28</Pages>
  <Words>2092</Words>
  <Characters>11928</Characters>
  <Lines>99</Lines>
  <Paragraphs>27</Paragraphs>
  <TotalTime>0</TotalTime>
  <ScaleCrop>false</ScaleCrop>
  <LinksUpToDate>false</LinksUpToDate>
  <CharactersWithSpaces>13993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2018-03-22T06:27:00Z</dcterms:created>
  <dc:creator>administrator</dc:creator>
  <cp:lastModifiedBy>璐</cp:lastModifiedBy>
  <cp:lastPrinted>2020-04-29T03:23:00Z</cp:lastPrinted>
  <dcterms:modified xsi:type="dcterms:W3CDTF">2020-06-18T08:40:54Z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