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cs="Arial"/>
          <w:bCs/>
          <w:sz w:val="32"/>
          <w:szCs w:val="32"/>
        </w:rPr>
      </w:pPr>
      <w:r>
        <w:rPr>
          <w:rFonts w:hint="eastAsia" w:ascii="黑体" w:hAnsi="宋体" w:eastAsia="黑体" w:cs="Arial"/>
          <w:bCs/>
          <w:sz w:val="32"/>
          <w:szCs w:val="32"/>
        </w:rPr>
        <w:t>附件4：</w:t>
      </w:r>
    </w:p>
    <w:p>
      <w:pPr>
        <w:rPr>
          <w:rFonts w:hint="eastAsia" w:ascii="黑体" w:hAnsi="宋体" w:eastAsia="黑体" w:cs="Arial"/>
          <w:bCs/>
          <w:sz w:val="32"/>
          <w:szCs w:val="32"/>
        </w:rPr>
      </w:pPr>
    </w:p>
    <w:p>
      <w:pPr>
        <w:jc w:val="center"/>
        <w:rPr>
          <w:rFonts w:hint="eastAsia" w:ascii="方正小标宋简体" w:hAnsi="宋体" w:eastAsia="方正小标宋简体" w:cs="Arial"/>
          <w:bCs/>
          <w:sz w:val="44"/>
          <w:szCs w:val="44"/>
          <w:lang w:eastAsia="zh-CN"/>
        </w:rPr>
      </w:pPr>
      <w:r>
        <w:rPr>
          <w:rFonts w:hint="eastAsia" w:ascii="方正小标宋简体" w:hAnsi="宋体" w:eastAsia="方正小标宋简体" w:cs="Arial"/>
          <w:bCs/>
          <w:sz w:val="44"/>
          <w:szCs w:val="44"/>
          <w:lang w:eastAsia="zh-CN"/>
        </w:rPr>
        <w:t>南昌市建设用地使用权二级市场</w:t>
      </w:r>
    </w:p>
    <w:p>
      <w:pPr>
        <w:jc w:val="center"/>
        <w:rPr>
          <w:rFonts w:hint="eastAsia" w:ascii="方正小标宋简体" w:hAnsi="宋体" w:eastAsia="方正小标宋简体" w:cs="Arial"/>
          <w:bCs/>
          <w:sz w:val="44"/>
          <w:szCs w:val="44"/>
        </w:rPr>
      </w:pPr>
      <w:r>
        <w:rPr>
          <w:rFonts w:hint="eastAsia" w:ascii="方正小标宋简体" w:hAnsi="宋体" w:eastAsia="方正小标宋简体" w:cs="Arial"/>
          <w:bCs/>
          <w:sz w:val="44"/>
          <w:szCs w:val="44"/>
          <w:lang w:eastAsia="zh-CN"/>
        </w:rPr>
        <w:t>项目</w:t>
      </w:r>
      <w:r>
        <w:rPr>
          <w:rFonts w:hint="eastAsia" w:ascii="方正小标宋简体" w:hAnsi="宋体" w:eastAsia="方正小标宋简体" w:cs="Arial"/>
          <w:bCs/>
          <w:sz w:val="44"/>
          <w:szCs w:val="44"/>
        </w:rPr>
        <w:t>支出绩效</w:t>
      </w:r>
      <w:r>
        <w:rPr>
          <w:rFonts w:hint="eastAsia" w:ascii="方正小标宋简体" w:hAnsi="宋体" w:eastAsia="方正小标宋简体" w:cs="Arial"/>
          <w:bCs/>
          <w:sz w:val="44"/>
          <w:szCs w:val="44"/>
          <w:lang w:eastAsia="zh-CN"/>
        </w:rPr>
        <w:t>自评</w:t>
      </w:r>
      <w:r>
        <w:rPr>
          <w:rFonts w:hint="eastAsia" w:ascii="方正小标宋简体" w:hAnsi="宋体" w:eastAsia="方正小标宋简体" w:cs="Arial"/>
          <w:bCs/>
          <w:sz w:val="44"/>
          <w:szCs w:val="44"/>
        </w:rPr>
        <w:t>报告</w:t>
      </w:r>
    </w:p>
    <w:p>
      <w:pPr>
        <w:rPr>
          <w:rFonts w:hint="eastAsia" w:ascii="黑体" w:hAnsi="宋体" w:eastAsia="黑体" w:cs="Arial"/>
          <w:bCs/>
          <w:sz w:val="32"/>
          <w:szCs w:val="32"/>
        </w:rPr>
      </w:pPr>
    </w:p>
    <w:p>
      <w:pPr>
        <w:rPr>
          <w:rFonts w:hint="eastAsia" w:ascii="黑体" w:hAnsi="宋体" w:eastAsia="黑体" w:cs="Arial"/>
          <w:bCs/>
          <w:sz w:val="32"/>
          <w:szCs w:val="32"/>
        </w:rPr>
      </w:pPr>
    </w:p>
    <w:p>
      <w:pPr>
        <w:spacing w:line="600" w:lineRule="exact"/>
        <w:rPr>
          <w:rFonts w:hint="default" w:ascii="黑体" w:hAnsi="黑体" w:eastAsia="黑体" w:cs="黑体"/>
          <w:bCs/>
          <w:sz w:val="32"/>
          <w:szCs w:val="32"/>
          <w:u w:val="single"/>
          <w:lang w:val="en-US"/>
        </w:rPr>
      </w:pPr>
      <w:r>
        <w:rPr>
          <w:rFonts w:hint="eastAsia" w:ascii="黑体" w:hAnsi="宋体" w:eastAsia="黑体" w:cs="Arial"/>
          <w:bCs/>
          <w:sz w:val="32"/>
          <w:szCs w:val="32"/>
        </w:rPr>
        <w:t>项目名称：</w:t>
      </w:r>
      <w:r>
        <w:rPr>
          <w:rFonts w:hint="eastAsia" w:ascii="黑体" w:hAnsi="宋体" w:eastAsia="黑体" w:cs="Arial"/>
          <w:bCs/>
          <w:sz w:val="32"/>
          <w:szCs w:val="32"/>
          <w:u w:val="single"/>
          <w:lang w:val="en-US" w:eastAsia="zh-CN"/>
        </w:rPr>
        <w:t xml:space="preserve">    </w:t>
      </w:r>
      <w:r>
        <w:rPr>
          <w:rFonts w:hint="eastAsia" w:ascii="黑体" w:hAnsi="黑体" w:eastAsia="黑体" w:cs="黑体"/>
          <w:bCs/>
          <w:sz w:val="32"/>
          <w:szCs w:val="32"/>
          <w:u w:val="single"/>
          <w:lang w:val="en-US" w:eastAsia="zh-CN"/>
        </w:rPr>
        <w:t>南昌市建设用地使用权二级市场项目</w:t>
      </w:r>
      <w:r>
        <w:rPr>
          <w:rFonts w:hint="eastAsia" w:ascii="方正小标宋简体" w:hAnsi="宋体" w:eastAsia="方正小标宋简体" w:cs="Arial"/>
          <w:bCs/>
          <w:sz w:val="44"/>
          <w:szCs w:val="44"/>
          <w:u w:val="single"/>
          <w:lang w:val="en-US" w:eastAsia="zh-CN"/>
        </w:rPr>
        <w:t xml:space="preserve">       </w:t>
      </w:r>
    </w:p>
    <w:p>
      <w:pPr>
        <w:spacing w:line="600" w:lineRule="exact"/>
        <w:rPr>
          <w:rFonts w:hint="eastAsia" w:ascii="黑体" w:hAnsi="宋体" w:eastAsia="黑体" w:cs="Arial"/>
          <w:bCs/>
          <w:sz w:val="32"/>
          <w:szCs w:val="32"/>
        </w:rPr>
      </w:pPr>
    </w:p>
    <w:p>
      <w:pPr>
        <w:spacing w:line="600" w:lineRule="exact"/>
        <w:rPr>
          <w:rFonts w:hint="default" w:ascii="黑体" w:hAnsi="宋体" w:eastAsia="黑体" w:cs="Arial"/>
          <w:bCs/>
          <w:sz w:val="32"/>
          <w:szCs w:val="32"/>
          <w:u w:val="single"/>
          <w:lang w:val="en-US" w:eastAsia="zh-CN"/>
        </w:rPr>
      </w:pPr>
      <w:r>
        <w:rPr>
          <w:rFonts w:hint="eastAsia" w:ascii="黑体" w:hAnsi="宋体" w:eastAsia="黑体" w:cs="Arial"/>
          <w:bCs/>
          <w:sz w:val="32"/>
          <w:szCs w:val="32"/>
        </w:rPr>
        <w:t>项目类别：</w:t>
      </w:r>
      <w:r>
        <w:rPr>
          <w:rFonts w:hint="eastAsia" w:ascii="黑体" w:hAnsi="宋体" w:eastAsia="黑体" w:cs="Arial"/>
          <w:bCs/>
          <w:sz w:val="32"/>
          <w:szCs w:val="32"/>
          <w:u w:val="single"/>
          <w:lang w:val="en-US" w:eastAsia="zh-CN"/>
        </w:rPr>
        <w:t xml:space="preserve">         </w:t>
      </w:r>
      <w:r>
        <w:rPr>
          <w:rFonts w:hint="eastAsia" w:ascii="黑体" w:hAnsi="黑体" w:eastAsia="黑体" w:cs="黑体"/>
          <w:bCs/>
          <w:sz w:val="32"/>
          <w:szCs w:val="32"/>
          <w:u w:val="single"/>
          <w:lang w:eastAsia="zh-CN"/>
        </w:rPr>
        <w:t>其他</w:t>
      </w:r>
      <w:r>
        <w:rPr>
          <w:rFonts w:hint="eastAsia" w:ascii="黑体" w:hAnsi="黑体" w:eastAsia="黑体" w:cs="黑体"/>
          <w:bCs/>
          <w:sz w:val="32"/>
          <w:szCs w:val="32"/>
          <w:u w:val="single"/>
        </w:rPr>
        <w:t>类</w:t>
      </w:r>
      <w:r>
        <w:rPr>
          <w:rFonts w:hint="eastAsia" w:ascii="黑体" w:hAnsi="黑体" w:eastAsia="黑体" w:cs="黑体"/>
          <w:bCs/>
          <w:sz w:val="32"/>
          <w:szCs w:val="32"/>
          <w:u w:val="single"/>
          <w:lang w:val="en-US" w:eastAsia="zh-CN"/>
        </w:rPr>
        <w:t xml:space="preserve">                           </w:t>
      </w:r>
    </w:p>
    <w:p>
      <w:pPr>
        <w:spacing w:line="600" w:lineRule="exact"/>
        <w:rPr>
          <w:rFonts w:hint="eastAsia" w:ascii="黑体" w:hAnsi="宋体" w:eastAsia="黑体" w:cs="Arial"/>
          <w:bCs/>
          <w:sz w:val="32"/>
          <w:szCs w:val="32"/>
        </w:rPr>
      </w:pPr>
    </w:p>
    <w:p>
      <w:pPr>
        <w:spacing w:line="600" w:lineRule="exact"/>
        <w:rPr>
          <w:rFonts w:hint="default" w:ascii="黑体" w:hAnsi="宋体" w:eastAsia="黑体" w:cs="Arial"/>
          <w:bCs/>
          <w:sz w:val="32"/>
          <w:szCs w:val="32"/>
          <w:u w:val="single"/>
          <w:lang w:val="en-US" w:eastAsia="zh-CN"/>
        </w:rPr>
      </w:pPr>
      <w:r>
        <w:rPr>
          <w:rFonts w:hint="eastAsia" w:ascii="黑体" w:hAnsi="宋体" w:eastAsia="黑体" w:cs="Arial"/>
          <w:bCs/>
          <w:sz w:val="32"/>
          <w:szCs w:val="32"/>
        </w:rPr>
        <w:t>实施单位：</w:t>
      </w:r>
      <w:r>
        <w:rPr>
          <w:rFonts w:hint="eastAsia" w:ascii="黑体" w:hAnsi="宋体" w:eastAsia="黑体" w:cs="Arial"/>
          <w:bCs/>
          <w:sz w:val="32"/>
          <w:szCs w:val="32"/>
          <w:u w:val="single"/>
          <w:lang w:val="en-US" w:eastAsia="zh-CN"/>
        </w:rPr>
        <w:t xml:space="preserve">    南昌市国土资源档案信息中心             </w:t>
      </w:r>
    </w:p>
    <w:p>
      <w:pPr>
        <w:spacing w:line="600" w:lineRule="exact"/>
        <w:rPr>
          <w:rFonts w:hint="eastAsia" w:ascii="黑体" w:hAnsi="宋体" w:eastAsia="黑体" w:cs="Arial"/>
          <w:bCs/>
          <w:sz w:val="32"/>
          <w:szCs w:val="32"/>
        </w:rPr>
      </w:pPr>
    </w:p>
    <w:p>
      <w:pPr>
        <w:spacing w:line="600" w:lineRule="exact"/>
        <w:rPr>
          <w:rFonts w:hint="eastAsia" w:ascii="黑体" w:hAnsi="宋体" w:eastAsia="黑体" w:cs="Arial"/>
          <w:bCs/>
          <w:sz w:val="32"/>
          <w:szCs w:val="32"/>
        </w:rPr>
      </w:pPr>
      <w:r>
        <w:rPr>
          <w:rFonts w:hint="eastAsia" w:ascii="黑体" w:hAnsi="宋体" w:eastAsia="黑体" w:cs="Arial"/>
          <w:bCs/>
          <w:sz w:val="32"/>
          <w:szCs w:val="32"/>
        </w:rPr>
        <w:t>主管部门：</w:t>
      </w:r>
      <w:r>
        <w:rPr>
          <w:rFonts w:hint="eastAsia" w:ascii="黑体" w:hAnsi="黑体" w:eastAsia="黑体" w:cs="黑体"/>
          <w:bCs/>
          <w:sz w:val="32"/>
          <w:szCs w:val="32"/>
          <w:u w:val="single"/>
        </w:rPr>
        <w:t xml:space="preserve">   </w:t>
      </w:r>
      <w:r>
        <w:rPr>
          <w:rFonts w:hint="eastAsia" w:ascii="黑体" w:hAnsi="黑体" w:eastAsia="黑体" w:cs="黑体"/>
          <w:bCs/>
          <w:sz w:val="32"/>
          <w:szCs w:val="32"/>
          <w:u w:val="single"/>
          <w:lang w:val="en-US" w:eastAsia="zh-CN"/>
        </w:rPr>
        <w:t xml:space="preserve">        </w:t>
      </w:r>
      <w:r>
        <w:rPr>
          <w:rFonts w:hint="eastAsia" w:ascii="黑体" w:hAnsi="黑体" w:eastAsia="黑体" w:cs="黑体"/>
          <w:bCs/>
          <w:sz w:val="32"/>
          <w:szCs w:val="32"/>
          <w:u w:val="single"/>
          <w:lang w:eastAsia="zh-CN"/>
        </w:rPr>
        <w:t>南昌市自然资源局</w:t>
      </w:r>
      <w:r>
        <w:rPr>
          <w:rFonts w:hint="eastAsia" w:ascii="黑体" w:hAnsi="黑体" w:eastAsia="黑体" w:cs="黑体"/>
          <w:bCs/>
          <w:sz w:val="32"/>
          <w:szCs w:val="32"/>
          <w:u w:val="single"/>
        </w:rPr>
        <w:t xml:space="preserve"> </w:t>
      </w:r>
      <w:r>
        <w:rPr>
          <w:rFonts w:hint="eastAsia" w:ascii="黑体" w:hAnsi="黑体" w:eastAsia="黑体" w:cs="黑体"/>
          <w:bCs/>
          <w:sz w:val="32"/>
          <w:szCs w:val="32"/>
          <w:u w:val="single"/>
          <w:lang w:val="en-US" w:eastAsia="zh-CN"/>
        </w:rPr>
        <w:t xml:space="preserve">   </w:t>
      </w:r>
      <w:r>
        <w:rPr>
          <w:rFonts w:hint="eastAsia" w:ascii="黑体" w:hAnsi="黑体" w:eastAsia="黑体" w:cs="黑体"/>
          <w:bCs/>
          <w:sz w:val="32"/>
          <w:szCs w:val="32"/>
          <w:u w:val="single"/>
        </w:rPr>
        <w:t xml:space="preserve">     （盖章）</w:t>
      </w:r>
    </w:p>
    <w:p>
      <w:pPr>
        <w:spacing w:line="600" w:lineRule="exact"/>
        <w:rPr>
          <w:rFonts w:hint="eastAsia" w:ascii="黑体" w:hAnsi="宋体" w:eastAsia="黑体" w:cs="Arial"/>
          <w:bCs/>
          <w:sz w:val="32"/>
          <w:szCs w:val="32"/>
        </w:rPr>
      </w:pPr>
    </w:p>
    <w:p>
      <w:pPr>
        <w:spacing w:line="600" w:lineRule="exact"/>
        <w:rPr>
          <w:rFonts w:hint="eastAsia" w:ascii="黑体" w:hAnsi="宋体" w:eastAsia="黑体" w:cs="Arial"/>
          <w:bCs/>
          <w:sz w:val="32"/>
          <w:szCs w:val="32"/>
        </w:rPr>
      </w:pPr>
      <w:r>
        <w:rPr>
          <w:rFonts w:hint="eastAsia" w:ascii="黑体" w:hAnsi="宋体" w:eastAsia="黑体" w:cs="Arial"/>
          <w:bCs/>
          <w:sz w:val="32"/>
          <w:szCs w:val="32"/>
        </w:rPr>
        <w:t>评价机构：</w:t>
      </w:r>
      <w:r>
        <w:rPr>
          <w:rFonts w:hint="eastAsia" w:ascii="黑体" w:hAnsi="黑体" w:eastAsia="黑体" w:cs="黑体"/>
          <w:bCs/>
          <w:sz w:val="32"/>
          <w:szCs w:val="32"/>
          <w:u w:val="single"/>
        </w:rPr>
        <w:t xml:space="preserve"> </w:t>
      </w:r>
      <w:r>
        <w:rPr>
          <w:rFonts w:hint="eastAsia" w:ascii="黑体" w:hAnsi="黑体" w:eastAsia="黑体" w:cs="黑体"/>
          <w:bCs/>
          <w:sz w:val="32"/>
          <w:szCs w:val="32"/>
          <w:u w:val="single"/>
          <w:lang w:val="en-US" w:eastAsia="zh-CN"/>
        </w:rPr>
        <w:t xml:space="preserve">                                   </w:t>
      </w:r>
      <w:r>
        <w:rPr>
          <w:rFonts w:hint="eastAsia" w:ascii="黑体" w:hAnsi="黑体" w:eastAsia="黑体" w:cs="黑体"/>
          <w:bCs/>
          <w:sz w:val="32"/>
          <w:szCs w:val="32"/>
          <w:u w:val="single"/>
        </w:rPr>
        <w:t>（盖章）</w:t>
      </w:r>
    </w:p>
    <w:p>
      <w:pPr>
        <w:spacing w:line="600" w:lineRule="exact"/>
        <w:rPr>
          <w:rFonts w:hint="eastAsia" w:ascii="黑体" w:hAnsi="宋体" w:eastAsia="黑体" w:cs="Arial"/>
          <w:bCs/>
          <w:sz w:val="32"/>
          <w:szCs w:val="32"/>
        </w:rPr>
      </w:pPr>
    </w:p>
    <w:p>
      <w:pPr>
        <w:spacing w:line="600" w:lineRule="exact"/>
        <w:rPr>
          <w:rFonts w:hint="eastAsia" w:ascii="黑体" w:hAnsi="宋体" w:eastAsia="黑体" w:cs="Arial"/>
          <w:bCs/>
          <w:sz w:val="32"/>
          <w:szCs w:val="32"/>
        </w:rPr>
      </w:pPr>
      <w:r>
        <w:rPr>
          <w:rFonts w:hint="eastAsia" w:ascii="黑体" w:hAnsi="宋体" w:eastAsia="黑体" w:cs="Arial"/>
          <w:bCs/>
          <w:sz w:val="32"/>
          <w:szCs w:val="32"/>
        </w:rPr>
        <w:t>评价年度：</w:t>
      </w:r>
      <w:r>
        <w:rPr>
          <w:rFonts w:hint="eastAsia" w:ascii="黑体" w:hAnsi="黑体" w:eastAsia="黑体" w:cs="黑体"/>
          <w:bCs/>
          <w:sz w:val="32"/>
          <w:szCs w:val="32"/>
          <w:u w:val="single"/>
        </w:rPr>
        <w:t xml:space="preserve">               </w:t>
      </w:r>
      <w:r>
        <w:rPr>
          <w:rFonts w:hint="eastAsia" w:ascii="黑体" w:hAnsi="黑体" w:eastAsia="黑体" w:cs="黑体"/>
          <w:bCs/>
          <w:sz w:val="32"/>
          <w:szCs w:val="32"/>
          <w:u w:val="single"/>
          <w:lang w:val="en-US" w:eastAsia="zh-CN"/>
        </w:rPr>
        <w:t>2019年</w:t>
      </w:r>
      <w:r>
        <w:rPr>
          <w:rFonts w:hint="eastAsia" w:ascii="黑体" w:hAnsi="黑体" w:eastAsia="黑体" w:cs="黑体"/>
          <w:bCs/>
          <w:sz w:val="32"/>
          <w:szCs w:val="32"/>
          <w:u w:val="single"/>
        </w:rPr>
        <w:t xml:space="preserve">                      </w:t>
      </w:r>
    </w:p>
    <w:p>
      <w:pPr>
        <w:rPr>
          <w:rFonts w:hint="eastAsia" w:ascii="黑体" w:hAnsi="宋体" w:eastAsia="黑体" w:cs="Arial"/>
          <w:bCs/>
          <w:sz w:val="32"/>
          <w:szCs w:val="32"/>
        </w:rPr>
      </w:pPr>
    </w:p>
    <w:p>
      <w:pPr>
        <w:jc w:val="center"/>
        <w:rPr>
          <w:rFonts w:hint="eastAsia" w:ascii="黑体" w:hAnsi="宋体" w:eastAsia="黑体" w:cs="Arial"/>
          <w:bCs/>
          <w:sz w:val="32"/>
          <w:szCs w:val="32"/>
        </w:rPr>
      </w:pPr>
    </w:p>
    <w:p>
      <w:pPr>
        <w:jc w:val="center"/>
        <w:rPr>
          <w:rFonts w:hint="eastAsia" w:ascii="黑体" w:hAnsi="宋体" w:eastAsia="黑体" w:cs="Arial"/>
          <w:bCs/>
          <w:sz w:val="32"/>
          <w:szCs w:val="32"/>
        </w:rPr>
      </w:pPr>
    </w:p>
    <w:p>
      <w:pPr>
        <w:jc w:val="center"/>
        <w:rPr>
          <w:rFonts w:hint="eastAsia" w:ascii="黑体" w:hAnsi="黑体" w:eastAsia="黑体" w:cs="黑体"/>
          <w:sz w:val="44"/>
          <w:szCs w:val="44"/>
        </w:rPr>
      </w:pPr>
      <w:r>
        <w:rPr>
          <w:rFonts w:hint="eastAsia" w:ascii="黑体" w:hAnsi="宋体" w:eastAsia="黑体" w:cs="Arial"/>
          <w:bCs/>
          <w:sz w:val="32"/>
          <w:szCs w:val="32"/>
          <w:lang w:val="en-US" w:eastAsia="zh-CN"/>
        </w:rPr>
        <w:t>2020</w:t>
      </w:r>
      <w:r>
        <w:rPr>
          <w:rFonts w:hint="eastAsia" w:ascii="黑体" w:hAnsi="宋体" w:eastAsia="黑体" w:cs="Arial"/>
          <w:bCs/>
          <w:sz w:val="32"/>
          <w:szCs w:val="32"/>
        </w:rPr>
        <w:t xml:space="preserve">年 </w:t>
      </w:r>
      <w:r>
        <w:rPr>
          <w:rFonts w:hint="eastAsia" w:ascii="黑体" w:hAnsi="宋体" w:eastAsia="黑体" w:cs="Arial"/>
          <w:bCs/>
          <w:sz w:val="32"/>
          <w:szCs w:val="32"/>
          <w:lang w:val="en-US" w:eastAsia="zh-CN"/>
        </w:rPr>
        <w:t>4</w:t>
      </w:r>
      <w:r>
        <w:rPr>
          <w:rFonts w:hint="eastAsia" w:ascii="黑体" w:hAnsi="宋体" w:eastAsia="黑体" w:cs="Arial"/>
          <w:bCs/>
          <w:sz w:val="32"/>
          <w:szCs w:val="32"/>
        </w:rPr>
        <w:t xml:space="preserve">  月 </w:t>
      </w:r>
      <w:r>
        <w:rPr>
          <w:rFonts w:hint="eastAsia" w:ascii="黑体" w:hAnsi="宋体" w:eastAsia="黑体" w:cs="Arial"/>
          <w:bCs/>
          <w:sz w:val="32"/>
          <w:szCs w:val="32"/>
          <w:lang w:val="en-US" w:eastAsia="zh-CN"/>
        </w:rPr>
        <w:t>13</w:t>
      </w:r>
      <w:r>
        <w:rPr>
          <w:rFonts w:hint="eastAsia" w:ascii="黑体" w:hAnsi="宋体" w:eastAsia="黑体" w:cs="Arial"/>
          <w:bCs/>
          <w:sz w:val="32"/>
          <w:szCs w:val="32"/>
        </w:rPr>
        <w:t>日</w:t>
      </w:r>
    </w:p>
    <w:p>
      <w:pPr>
        <w:spacing w:afterLines="100"/>
        <w:jc w:val="center"/>
        <w:rPr>
          <w:rFonts w:hint="eastAsia" w:ascii="黑体" w:hAnsi="黑体" w:eastAsia="黑体" w:cs="黑体"/>
          <w:sz w:val="44"/>
          <w:szCs w:val="44"/>
          <w:lang w:val="en-US" w:eastAsia="zh-CN"/>
        </w:rPr>
      </w:pPr>
      <w:r>
        <w:rPr>
          <w:rFonts w:hint="eastAsia" w:ascii="黑体" w:hAnsi="黑体" w:eastAsia="黑体" w:cs="黑体"/>
          <w:sz w:val="44"/>
          <w:szCs w:val="44"/>
        </w:rPr>
        <w:t>南昌市</w:t>
      </w:r>
      <w:bookmarkStart w:id="0" w:name="_Toc24348"/>
      <w:bookmarkStart w:id="1" w:name="_Toc500439644"/>
      <w:r>
        <w:rPr>
          <w:rFonts w:hint="eastAsia" w:ascii="黑体" w:hAnsi="黑体" w:eastAsia="黑体" w:cs="黑体"/>
          <w:sz w:val="44"/>
          <w:szCs w:val="44"/>
          <w:lang w:val="en-US" w:eastAsia="zh-CN"/>
        </w:rPr>
        <w:t>建设用地使用权二级市场系统平台建设项目</w:t>
      </w:r>
    </w:p>
    <w:p>
      <w:pPr>
        <w:widowControl/>
        <w:spacing w:before="156" w:after="156" w:line="540" w:lineRule="atLeast"/>
        <w:ind w:firstLine="640"/>
        <w:jc w:val="left"/>
        <w:rPr>
          <w:rFonts w:hint="eastAsia" w:ascii="仿宋" w:hAnsi="仿宋" w:eastAsia="仿宋" w:cs="仿宋"/>
          <w:sz w:val="28"/>
          <w:szCs w:val="28"/>
        </w:rPr>
      </w:pPr>
      <w:r>
        <w:rPr>
          <w:rFonts w:hint="eastAsia" w:ascii="仿宋" w:hAnsi="仿宋" w:eastAsia="仿宋" w:cs="仿宋"/>
          <w:sz w:val="28"/>
          <w:szCs w:val="28"/>
        </w:rPr>
        <w:t>财政支出绩效评价从深化部门预算改革，加强预算绩效管理的实际需要出发，通过科学合理的方法，客观公正地评价财政资金使用的经济性、效率性和效益性，是强化部门预算支出责任、改善财政支出管理、优化资源配置以及提高公共服务水平的重要手段。</w:t>
      </w:r>
    </w:p>
    <w:p>
      <w:pPr>
        <w:spacing w:afterLines="100"/>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rPr>
        <w:t>为深入贯彻落实《预算法》文件精神，认真履行全面实施绩效管理的“十九大”精神，强化预算支出责任，提高财政资金使用效益，根据《江西省人民政府关于全面推进预算绩效管理的实施意见》（赣府发[2013]8号）、《南昌市人民政府关于印发&lt;南昌市财政支出绩效评价管理办法&gt;（试行）的通知》（洪府发[2014]8号）、《南昌市财政局关于开展201</w:t>
      </w:r>
      <w:r>
        <w:rPr>
          <w:rFonts w:hint="eastAsia" w:ascii="仿宋" w:hAnsi="仿宋" w:eastAsia="仿宋" w:cs="仿宋"/>
          <w:sz w:val="28"/>
          <w:szCs w:val="28"/>
          <w:lang w:val="en-US" w:eastAsia="zh-CN"/>
        </w:rPr>
        <w:t>8</w:t>
      </w:r>
      <w:r>
        <w:rPr>
          <w:rFonts w:hint="eastAsia" w:ascii="仿宋" w:hAnsi="仿宋" w:eastAsia="仿宋" w:cs="仿宋"/>
          <w:sz w:val="28"/>
          <w:szCs w:val="28"/>
        </w:rPr>
        <w:t>年度市级部门财政项目支出绩效评价工作的通知》（洪财办[20</w:t>
      </w:r>
      <w:r>
        <w:rPr>
          <w:rFonts w:hint="eastAsia" w:ascii="仿宋" w:hAnsi="仿宋" w:eastAsia="仿宋" w:cs="仿宋"/>
          <w:sz w:val="28"/>
          <w:szCs w:val="28"/>
          <w:lang w:val="en-US" w:eastAsia="zh-CN"/>
        </w:rPr>
        <w:t>20</w:t>
      </w:r>
      <w:r>
        <w:rPr>
          <w:rFonts w:hint="eastAsia" w:ascii="仿宋" w:hAnsi="仿宋" w:eastAsia="仿宋" w:cs="仿宋"/>
          <w:sz w:val="28"/>
          <w:szCs w:val="28"/>
        </w:rPr>
        <w:t>]</w:t>
      </w:r>
      <w:r>
        <w:rPr>
          <w:rFonts w:hint="eastAsia" w:ascii="仿宋" w:hAnsi="仿宋" w:eastAsia="仿宋" w:cs="仿宋"/>
          <w:sz w:val="28"/>
          <w:szCs w:val="28"/>
          <w:lang w:val="en-US" w:eastAsia="zh-CN"/>
        </w:rPr>
        <w:t>10</w:t>
      </w:r>
      <w:r>
        <w:rPr>
          <w:rFonts w:hint="eastAsia" w:ascii="仿宋" w:hAnsi="仿宋" w:eastAsia="仿宋" w:cs="仿宋"/>
          <w:sz w:val="28"/>
          <w:szCs w:val="28"/>
        </w:rPr>
        <w:t>号）等文件的要求，对</w:t>
      </w:r>
      <w:r>
        <w:rPr>
          <w:rFonts w:hint="eastAsia" w:ascii="仿宋" w:hAnsi="仿宋" w:eastAsia="仿宋" w:cs="仿宋"/>
          <w:sz w:val="28"/>
          <w:szCs w:val="28"/>
          <w:lang w:val="en-US" w:eastAsia="zh-CN"/>
        </w:rPr>
        <w:t>2019年度南昌市建设用地使用权二级市场系统平台建设</w:t>
      </w:r>
      <w:r>
        <w:rPr>
          <w:rFonts w:hint="eastAsia" w:ascii="仿宋" w:hAnsi="仿宋" w:eastAsia="仿宋" w:cs="仿宋"/>
          <w:sz w:val="28"/>
          <w:szCs w:val="28"/>
          <w:lang w:eastAsia="zh-CN"/>
        </w:rPr>
        <w:t>项目</w:t>
      </w:r>
      <w:r>
        <w:rPr>
          <w:rFonts w:hint="eastAsia" w:ascii="仿宋" w:hAnsi="仿宋" w:eastAsia="仿宋" w:cs="仿宋"/>
          <w:sz w:val="28"/>
          <w:szCs w:val="28"/>
        </w:rPr>
        <w:t>开展绩效</w:t>
      </w:r>
      <w:r>
        <w:rPr>
          <w:rFonts w:hint="eastAsia" w:ascii="仿宋" w:hAnsi="仿宋" w:eastAsia="仿宋" w:cs="仿宋"/>
          <w:sz w:val="28"/>
          <w:szCs w:val="28"/>
          <w:lang w:eastAsia="zh-CN"/>
        </w:rPr>
        <w:t>评价</w:t>
      </w:r>
      <w:r>
        <w:rPr>
          <w:rFonts w:hint="eastAsia" w:ascii="仿宋" w:hAnsi="仿宋" w:eastAsia="仿宋" w:cs="仿宋"/>
          <w:sz w:val="28"/>
          <w:szCs w:val="28"/>
        </w:rPr>
        <w:t>工作。</w:t>
      </w:r>
      <w:r>
        <w:rPr>
          <w:rFonts w:hint="eastAsia" w:ascii="仿宋" w:hAnsi="仿宋" w:eastAsia="仿宋" w:cs="仿宋"/>
          <w:sz w:val="28"/>
          <w:szCs w:val="28"/>
          <w:lang w:eastAsia="zh-CN"/>
        </w:rPr>
        <w:t>现将评价情况报告如下：</w:t>
      </w:r>
      <w:r>
        <w:rPr>
          <w:rFonts w:hint="eastAsia" w:ascii="仿宋" w:hAnsi="仿宋" w:eastAsia="仿宋" w:cs="仿宋"/>
          <w:sz w:val="28"/>
          <w:szCs w:val="28"/>
          <w:lang w:val="en-US" w:eastAsia="zh-CN"/>
        </w:rPr>
        <w:t xml:space="preserve"> </w:t>
      </w:r>
    </w:p>
    <w:p>
      <w:pPr>
        <w:numPr>
          <w:ilvl w:val="0"/>
          <w:numId w:val="1"/>
        </w:num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基本情况</w:t>
      </w:r>
    </w:p>
    <w:p>
      <w:pPr>
        <w:numPr>
          <w:ilvl w:val="0"/>
          <w:numId w:val="2"/>
        </w:num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项目</w:t>
      </w:r>
      <w:r>
        <w:rPr>
          <w:rFonts w:hint="eastAsia" w:ascii="仿宋" w:hAnsi="仿宋" w:eastAsia="仿宋" w:cs="仿宋"/>
          <w:b/>
          <w:bCs/>
          <w:sz w:val="28"/>
          <w:szCs w:val="28"/>
          <w:lang w:val="en-US" w:eastAsia="zh-CN"/>
        </w:rPr>
        <w:t>概况</w:t>
      </w:r>
    </w:p>
    <w:p>
      <w:pPr>
        <w:numPr>
          <w:ilvl w:val="0"/>
          <w:numId w:val="3"/>
        </w:num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项目背景</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建设用地市场包含一级市场和二级市场。实行土地有偿使用制度以来，我国一直坚持“一级市场垄断、二级市场开放”原则，土地一级市场得到不断的培育和发展，交易机制和管理体制日益完善，但二级市场由于长期缺乏政治监管，凸显出一系列问题，例如：建议规则不健全、政府服务和监管不完善、交易平台不规范、交易双方权益得不到保障等。土地二级市场整体呈现出“点多面广、交易分散、管理缺失”状态。党的十八届三中全会提出了“完善土地租赁、转让、抵押二级市场”的改革任务。</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2017年1月，《国土资源部印发&lt;关于完善建设用地使用权转让、出租、抵押市场的试点方案&gt;的通知》（国土资发〔2017〕12号），授权我市开展试点工作。</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月17日，国土资源部在京召开完善建设用地使用权转让、出租、抵押二级市场试点工作部署动员会议会议通过以会代训，全面部署启动二级市场试点工作，根据《通知》及会议要求，针对二级市场存在的交易规则不健全，交易平台不规范，政府监管不完善等问题，结合本市实际，我市制定了试点实施方案。5月27日，国土资源部正式批复我市《完善建设用地使用权转让、出租、抵押、二级市场试点实施方案》。</w:t>
      </w:r>
    </w:p>
    <w:p>
      <w:pPr>
        <w:spacing w:line="5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2017年7月，取得南昌市财政局便函（洪财综便函〔2017〕103号），同意将该项目经费在今年预算内基本建设资金中安排并报市政府批准。2017年9月，取得《关于南昌市建设用地使用权二级市场系统平台建设项目建设书的批复》（洪发改区字〔2017〕47号），由南昌市国土资源档案信息中心承建该项目，预估总经费630万元，建设工期九个月。</w:t>
      </w:r>
    </w:p>
    <w:p>
      <w:pPr>
        <w:numPr>
          <w:ilvl w:val="0"/>
          <w:numId w:val="3"/>
        </w:num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主要工作内容</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南昌市建设用地使用权二级市场系统平台建设内容主要包括三大部分</w:t>
      </w:r>
      <w:r>
        <w:rPr>
          <w:rFonts w:hint="eastAsia" w:ascii="仿宋" w:hAnsi="仿宋" w:eastAsia="仿宋" w:cs="仿宋"/>
          <w:sz w:val="28"/>
          <w:szCs w:val="28"/>
        </w:rPr>
        <w:t>：</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网络专线</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构建建设用地使用权二级市场系统平台专线网络，实现多链路接入和负载均衡，使用户能够快速无障碍访问网上交易系统。</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（二）软件平台系统</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建设土地使用权二级市场供需平台。通过建立我市统一供需信息平台，通过将土地使用权二级市场中供方与需方信息实时动态发布，实现线上与线下资源的对接、政府与市场资源的对接以及二级市场主体之间资源的对接。</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建设土地使用权二级市场转让、出租网上交易平台。发挥交易机构权威性、专业性优势，营造良好的交易环境、提高交易效率和服务水平，建设土地使用权二级市场网上交易平台，实现规范交易秩序，保障交易资金安全、合同安全、产权过户安全。</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（三）基础运行硬件系统</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公开采购服务器、存储、虚拟化软件、云（虚拟化）管理平台、交换机、应用负载均衡、防火墙、安全软件及设备、应用性能监控及分析光钎交换机等，建设满足市本级建设用地使用权转让出租系统正常高效、安全、稳定、可靠的二级市场运行环境。</w:t>
      </w:r>
    </w:p>
    <w:p>
      <w:pPr>
        <w:numPr>
          <w:ilvl w:val="0"/>
          <w:numId w:val="3"/>
        </w:num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实施情况</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自2018年</w:t>
      </w:r>
      <w:r>
        <w:rPr>
          <w:rFonts w:hint="eastAsia" w:ascii="仿宋" w:hAnsi="仿宋" w:eastAsia="仿宋" w:cs="仿宋"/>
          <w:sz w:val="28"/>
          <w:szCs w:val="28"/>
          <w:lang w:val="en-US" w:eastAsia="zh-CN"/>
        </w:rPr>
        <w:t>8</w:t>
      </w:r>
      <w:r>
        <w:rPr>
          <w:rFonts w:hint="eastAsia" w:ascii="仿宋" w:hAnsi="仿宋" w:eastAsia="仿宋" w:cs="仿宋"/>
          <w:sz w:val="28"/>
          <w:szCs w:val="28"/>
        </w:rPr>
        <w:t>月起，南昌市</w:t>
      </w:r>
      <w:r>
        <w:rPr>
          <w:rFonts w:hint="eastAsia" w:ascii="仿宋" w:hAnsi="仿宋" w:eastAsia="仿宋" w:cs="仿宋"/>
          <w:sz w:val="28"/>
          <w:szCs w:val="28"/>
          <w:lang w:val="en-US" w:eastAsia="zh-CN"/>
        </w:rPr>
        <w:t>建设用地使用权二级市场交易平台建设</w:t>
      </w:r>
      <w:r>
        <w:rPr>
          <w:rFonts w:hint="eastAsia" w:ascii="仿宋" w:hAnsi="仿宋" w:eastAsia="仿宋" w:cs="仿宋"/>
          <w:sz w:val="28"/>
          <w:szCs w:val="28"/>
        </w:rPr>
        <w:t>工作正式启动；截至2019年</w:t>
      </w:r>
      <w:r>
        <w:rPr>
          <w:rFonts w:hint="eastAsia" w:ascii="仿宋" w:hAnsi="仿宋" w:eastAsia="仿宋" w:cs="仿宋"/>
          <w:sz w:val="28"/>
          <w:szCs w:val="28"/>
          <w:lang w:val="en-US" w:eastAsia="zh-CN"/>
        </w:rPr>
        <w:t>6月</w:t>
      </w:r>
      <w:r>
        <w:rPr>
          <w:rFonts w:hint="eastAsia" w:ascii="仿宋" w:hAnsi="仿宋" w:eastAsia="仿宋" w:cs="仿宋"/>
          <w:sz w:val="28"/>
          <w:szCs w:val="28"/>
        </w:rPr>
        <w:t>，</w:t>
      </w:r>
      <w:r>
        <w:rPr>
          <w:rFonts w:hint="eastAsia" w:ascii="仿宋" w:hAnsi="仿宋" w:eastAsia="仿宋" w:cs="仿宋"/>
          <w:sz w:val="28"/>
          <w:szCs w:val="28"/>
          <w:lang w:val="en-US" w:eastAsia="zh-CN"/>
        </w:rPr>
        <w:t>平台正式建设完毕并投入试运行阶段，</w:t>
      </w:r>
      <w:r>
        <w:rPr>
          <w:rFonts w:hint="eastAsia" w:ascii="仿宋" w:hAnsi="仿宋" w:eastAsia="仿宋" w:cs="仿宋"/>
          <w:sz w:val="28"/>
          <w:szCs w:val="28"/>
        </w:rPr>
        <w:t>在此期间，主要完成的工作有：</w:t>
      </w:r>
    </w:p>
    <w:p>
      <w:pPr>
        <w:numPr>
          <w:ilvl w:val="0"/>
          <w:numId w:val="4"/>
        </w:num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根据国土资源部印发&lt;关于完善建设用地使用权转让、出租、抵押市场的试点方案&gt;的通知》（国土资发〔2017〕12号）的要求，授权我市开展试点工作并进行项目立项工作；</w:t>
      </w:r>
    </w:p>
    <w:p>
      <w:pPr>
        <w:numPr>
          <w:ilvl w:val="0"/>
          <w:numId w:val="4"/>
        </w:num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进行《土地二级市场软件部分》、《土地二级市场硬件部分》、《土地二级市场监理部分》公开招投标工作；</w:t>
      </w:r>
    </w:p>
    <w:p>
      <w:pPr>
        <w:numPr>
          <w:ilvl w:val="0"/>
          <w:numId w:val="4"/>
        </w:num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配合南昌市地产交易中心建设土地二级市场供需平台、土地二级市场转让出租网上交易平台、土地二级市场转让交易一站式服务平台、土地二级市场检测监管平台；</w:t>
      </w:r>
    </w:p>
    <w:p>
      <w:pPr>
        <w:numPr>
          <w:ilvl w:val="0"/>
          <w:numId w:val="4"/>
        </w:num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与三大网络运营商深入沟通平台建设问题；</w:t>
      </w:r>
    </w:p>
    <w:p>
      <w:pPr>
        <w:numPr>
          <w:ilvl w:val="0"/>
          <w:numId w:val="4"/>
        </w:num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核对采购系统硬件并协调软件开发商、硬件厂商对硬件安装上架并进行测试使用；</w:t>
      </w:r>
    </w:p>
    <w:p>
      <w:pPr>
        <w:numPr>
          <w:ilvl w:val="0"/>
          <w:numId w:val="4"/>
        </w:num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配合市公安局对系统进行三级等保评测并取得合格证书；</w:t>
      </w:r>
    </w:p>
    <w:p>
      <w:pPr>
        <w:numPr>
          <w:ilvl w:val="0"/>
          <w:numId w:val="4"/>
        </w:num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配合监理方参与土地二级市场交易系统平台建设。</w:t>
      </w:r>
    </w:p>
    <w:p>
      <w:pPr>
        <w:numPr>
          <w:ilvl w:val="0"/>
          <w:numId w:val="3"/>
        </w:num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资金投入和使用情况</w:t>
      </w:r>
    </w:p>
    <w:p>
      <w:pPr>
        <w:pStyle w:val="21"/>
        <w:ind w:firstLine="600"/>
        <w:rPr>
          <w:rFonts w:hint="eastAsia" w:ascii="仿宋" w:hAnsi="仿宋" w:eastAsia="仿宋" w:cs="仿宋"/>
          <w:b/>
          <w:bCs/>
          <w:sz w:val="28"/>
          <w:szCs w:val="28"/>
        </w:rPr>
      </w:pPr>
      <w:r>
        <w:rPr>
          <w:rFonts w:hint="eastAsia" w:ascii="仿宋" w:hAnsi="仿宋" w:eastAsia="仿宋" w:cs="仿宋"/>
          <w:sz w:val="28"/>
          <w:szCs w:val="28"/>
        </w:rPr>
        <w:t>项目预算资金</w:t>
      </w:r>
      <w:r>
        <w:rPr>
          <w:rFonts w:hint="eastAsia" w:ascii="仿宋" w:hAnsi="仿宋" w:eastAsia="仿宋" w:cs="仿宋"/>
          <w:sz w:val="28"/>
          <w:szCs w:val="28"/>
          <w:lang w:val="en-US" w:eastAsia="zh-CN"/>
        </w:rPr>
        <w:t>630</w:t>
      </w:r>
      <w:r>
        <w:rPr>
          <w:rFonts w:hint="eastAsia" w:ascii="仿宋" w:hAnsi="仿宋" w:eastAsia="仿宋" w:cs="仿宋"/>
          <w:sz w:val="28"/>
          <w:szCs w:val="28"/>
        </w:rPr>
        <w:t>万元，实际安排资金</w:t>
      </w:r>
      <w:r>
        <w:rPr>
          <w:rFonts w:hint="eastAsia" w:ascii="仿宋" w:hAnsi="仿宋" w:eastAsia="仿宋" w:cs="仿宋"/>
          <w:sz w:val="28"/>
          <w:szCs w:val="28"/>
          <w:lang w:val="en-US" w:eastAsia="zh-CN"/>
        </w:rPr>
        <w:t>625.63</w:t>
      </w:r>
      <w:r>
        <w:rPr>
          <w:rFonts w:hint="eastAsia" w:ascii="仿宋" w:hAnsi="仿宋" w:eastAsia="仿宋" w:cs="仿宋"/>
          <w:sz w:val="28"/>
          <w:szCs w:val="28"/>
        </w:rPr>
        <w:t>万元，实际到位资金</w:t>
      </w:r>
      <w:r>
        <w:rPr>
          <w:rFonts w:hint="eastAsia" w:ascii="仿宋" w:hAnsi="仿宋" w:eastAsia="仿宋" w:cs="仿宋"/>
          <w:sz w:val="28"/>
          <w:szCs w:val="28"/>
          <w:lang w:val="en-US" w:eastAsia="zh-CN"/>
        </w:rPr>
        <w:t>625.63</w:t>
      </w:r>
      <w:r>
        <w:rPr>
          <w:rFonts w:hint="eastAsia" w:ascii="仿宋" w:hAnsi="仿宋" w:eastAsia="仿宋" w:cs="仿宋"/>
          <w:sz w:val="28"/>
          <w:szCs w:val="28"/>
        </w:rPr>
        <w:t>万元，实际使用资金</w:t>
      </w:r>
      <w:r>
        <w:rPr>
          <w:rFonts w:hint="eastAsia" w:ascii="仿宋" w:hAnsi="仿宋" w:eastAsia="仿宋" w:cs="仿宋"/>
          <w:sz w:val="28"/>
          <w:szCs w:val="28"/>
          <w:lang w:val="en-US" w:eastAsia="zh-CN"/>
        </w:rPr>
        <w:t>625.63</w:t>
      </w:r>
      <w:r>
        <w:rPr>
          <w:rFonts w:hint="eastAsia" w:ascii="仿宋" w:hAnsi="仿宋" w:eastAsia="仿宋" w:cs="仿宋"/>
          <w:sz w:val="28"/>
          <w:szCs w:val="28"/>
        </w:rPr>
        <w:t>万元，</w:t>
      </w:r>
      <w:r>
        <w:rPr>
          <w:rFonts w:hint="eastAsia" w:ascii="仿宋" w:hAnsi="仿宋" w:eastAsia="仿宋" w:cs="仿宋"/>
          <w:sz w:val="28"/>
          <w:szCs w:val="28"/>
          <w:lang w:val="en-US" w:eastAsia="zh-CN"/>
        </w:rPr>
        <w:t>其中硬件采购459.95万元，信息平台建设采购146.98万元，监理服务采购18.7万元，</w:t>
      </w:r>
      <w:r>
        <w:rPr>
          <w:rFonts w:hint="eastAsia" w:ascii="仿宋" w:hAnsi="仿宋" w:eastAsia="仿宋" w:cs="仿宋"/>
          <w:sz w:val="28"/>
          <w:szCs w:val="28"/>
        </w:rPr>
        <w:t>已</w:t>
      </w:r>
      <w:r>
        <w:rPr>
          <w:rFonts w:hint="eastAsia" w:ascii="仿宋" w:hAnsi="仿宋" w:eastAsia="仿宋" w:cs="仿宋"/>
          <w:sz w:val="28"/>
          <w:szCs w:val="28"/>
          <w:lang w:val="en-US" w:eastAsia="zh-CN"/>
        </w:rPr>
        <w:t>完成全部资金支付</w:t>
      </w:r>
      <w:r>
        <w:rPr>
          <w:rFonts w:hint="eastAsia" w:ascii="仿宋" w:hAnsi="仿宋" w:eastAsia="仿宋" w:cs="仿宋"/>
          <w:sz w:val="28"/>
          <w:szCs w:val="28"/>
        </w:rPr>
        <w:t>。</w:t>
      </w:r>
    </w:p>
    <w:p>
      <w:pPr>
        <w:numPr>
          <w:ilvl w:val="0"/>
          <w:numId w:val="2"/>
        </w:num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项目绩效目标</w:t>
      </w:r>
    </w:p>
    <w:p>
      <w:pPr>
        <w:numPr>
          <w:ilvl w:val="0"/>
          <w:numId w:val="5"/>
        </w:num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总体目标</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2019年6月，完成土地二级市场交易系统平台建设，并进入试运行阶段。</w:t>
      </w:r>
    </w:p>
    <w:p>
      <w:pPr>
        <w:numPr>
          <w:ilvl w:val="0"/>
          <w:numId w:val="5"/>
        </w:num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阶段性目标</w:t>
      </w:r>
    </w:p>
    <w:p>
      <w:pPr>
        <w:numPr>
          <w:ilvl w:val="0"/>
          <w:numId w:val="6"/>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2017年底完成项目立项及招投标工作</w:t>
      </w:r>
      <w:r>
        <w:rPr>
          <w:rFonts w:hint="eastAsia" w:ascii="仿宋" w:hAnsi="仿宋" w:eastAsia="仿宋" w:cs="仿宋"/>
          <w:sz w:val="28"/>
          <w:szCs w:val="28"/>
        </w:rPr>
        <w:t>。</w:t>
      </w:r>
    </w:p>
    <w:p>
      <w:pPr>
        <w:numPr>
          <w:ilvl w:val="0"/>
          <w:numId w:val="6"/>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20</w:t>
      </w:r>
      <w:r>
        <w:rPr>
          <w:rFonts w:hint="eastAsia" w:ascii="仿宋" w:hAnsi="仿宋" w:eastAsia="仿宋" w:cs="仿宋"/>
          <w:sz w:val="28"/>
          <w:szCs w:val="28"/>
          <w:lang w:val="en-US" w:eastAsia="zh-CN"/>
        </w:rPr>
        <w:t>18年中完成硬件设备采购工作。</w:t>
      </w:r>
    </w:p>
    <w:p>
      <w:pPr>
        <w:numPr>
          <w:ilvl w:val="0"/>
          <w:numId w:val="6"/>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2018年底完成系统平台开发建设工作。</w:t>
      </w:r>
    </w:p>
    <w:p>
      <w:pPr>
        <w:numPr>
          <w:ilvl w:val="0"/>
          <w:numId w:val="6"/>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2019年6月，系统进入试运行阶段工作。</w:t>
      </w:r>
    </w:p>
    <w:p>
      <w:pPr>
        <w:numPr>
          <w:ilvl w:val="0"/>
          <w:numId w:val="6"/>
        </w:num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2020年，根据市政府要求，确定具体正式上线运行工作。</w:t>
      </w:r>
    </w:p>
    <w:bookmarkEnd w:id="0"/>
    <w:p>
      <w:pPr>
        <w:numPr>
          <w:ilvl w:val="0"/>
          <w:numId w:val="7"/>
        </w:numPr>
        <w:spacing w:line="560" w:lineRule="exact"/>
        <w:ind w:firstLine="562" w:firstLineChars="200"/>
        <w:rPr>
          <w:rFonts w:hint="eastAsia" w:ascii="仿宋" w:hAnsi="仿宋" w:eastAsia="仿宋" w:cs="仿宋"/>
          <w:b/>
          <w:bCs/>
          <w:sz w:val="28"/>
          <w:szCs w:val="28"/>
        </w:rPr>
      </w:pPr>
      <w:bookmarkStart w:id="2" w:name="_Toc12333"/>
      <w:r>
        <w:rPr>
          <w:rFonts w:hint="eastAsia" w:ascii="仿宋" w:hAnsi="仿宋" w:eastAsia="仿宋" w:cs="仿宋"/>
          <w:b/>
          <w:bCs/>
          <w:sz w:val="28"/>
          <w:szCs w:val="28"/>
        </w:rPr>
        <w:t>绩效评价工作开展情况</w:t>
      </w:r>
      <w:bookmarkEnd w:id="2"/>
      <w:bookmarkStart w:id="3" w:name="_Toc480533785"/>
      <w:bookmarkStart w:id="4" w:name="_Toc6241114"/>
      <w:bookmarkStart w:id="5" w:name="_Toc23949"/>
      <w:bookmarkStart w:id="6" w:name="_Toc480537535"/>
      <w:bookmarkStart w:id="7" w:name="_Toc5980460"/>
      <w:bookmarkStart w:id="8" w:name="_Toc480533248"/>
      <w:bookmarkStart w:id="9" w:name="_Toc480536985"/>
      <w:bookmarkStart w:id="10" w:name="_Toc480534744"/>
      <w:bookmarkStart w:id="11" w:name="_Toc480537469"/>
      <w:bookmarkStart w:id="12" w:name="_Toc6146775"/>
    </w:p>
    <w:p>
      <w:p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（一）绩效评价目的</w:t>
      </w:r>
      <w:bookmarkEnd w:id="3"/>
      <w:bookmarkEnd w:id="4"/>
      <w:bookmarkEnd w:id="5"/>
      <w:bookmarkEnd w:id="6"/>
      <w:bookmarkEnd w:id="7"/>
      <w:bookmarkEnd w:id="8"/>
      <w:bookmarkEnd w:id="9"/>
      <w:bookmarkEnd w:id="10"/>
      <w:bookmarkEnd w:id="11"/>
      <w:bookmarkEnd w:id="12"/>
    </w:p>
    <w:p>
      <w:pPr>
        <w:pStyle w:val="21"/>
        <w:ind w:firstLine="600"/>
        <w:rPr>
          <w:rFonts w:hint="eastAsia" w:ascii="仿宋" w:hAnsi="仿宋" w:eastAsia="仿宋" w:cs="仿宋"/>
          <w:sz w:val="28"/>
          <w:szCs w:val="28"/>
        </w:rPr>
      </w:pPr>
      <w:r>
        <w:rPr>
          <w:rFonts w:hint="eastAsia" w:ascii="仿宋" w:hAnsi="仿宋" w:eastAsia="仿宋" w:cs="仿宋"/>
          <w:sz w:val="28"/>
          <w:szCs w:val="28"/>
        </w:rPr>
        <w:t>财政支出绩效评价是财政管理体制改革的主要课题，也是建设高效廉洁政府的关键措施。通过评价，强化支出责任，优化资源配置效率，提高财政资金使用效益。</w:t>
      </w:r>
    </w:p>
    <w:p>
      <w:pPr>
        <w:spacing w:line="560" w:lineRule="exact"/>
        <w:ind w:firstLine="562" w:firstLineChars="200"/>
        <w:rPr>
          <w:rFonts w:hint="eastAsia" w:ascii="仿宋" w:hAnsi="仿宋" w:eastAsia="仿宋" w:cs="仿宋"/>
          <w:b/>
          <w:bCs/>
          <w:sz w:val="28"/>
          <w:szCs w:val="28"/>
        </w:rPr>
      </w:pPr>
      <w:bookmarkStart w:id="13" w:name="_Toc480536988"/>
      <w:bookmarkStart w:id="14" w:name="_Toc480537472"/>
      <w:bookmarkStart w:id="15" w:name="_Toc7712"/>
      <w:bookmarkStart w:id="16" w:name="_Toc480533788"/>
      <w:bookmarkStart w:id="17" w:name="_Toc6241115"/>
      <w:bookmarkStart w:id="18" w:name="_Toc6146776"/>
      <w:bookmarkStart w:id="19" w:name="_Toc480534747"/>
      <w:bookmarkStart w:id="20" w:name="_Toc480537538"/>
      <w:bookmarkStart w:id="21" w:name="_Toc480533251"/>
      <w:bookmarkStart w:id="22" w:name="_Toc5980461"/>
      <w:r>
        <w:rPr>
          <w:rFonts w:hint="eastAsia" w:ascii="仿宋" w:hAnsi="仿宋" w:eastAsia="仿宋" w:cs="仿宋"/>
          <w:b/>
          <w:bCs/>
          <w:sz w:val="28"/>
          <w:szCs w:val="28"/>
        </w:rPr>
        <w:t>（二）绩效评价原则</w:t>
      </w:r>
      <w:bookmarkEnd w:id="13"/>
      <w:bookmarkEnd w:id="14"/>
      <w:bookmarkEnd w:id="15"/>
      <w:bookmarkEnd w:id="16"/>
      <w:bookmarkEnd w:id="17"/>
      <w:bookmarkEnd w:id="18"/>
      <w:bookmarkEnd w:id="19"/>
      <w:bookmarkEnd w:id="20"/>
      <w:bookmarkEnd w:id="21"/>
      <w:bookmarkEnd w:id="22"/>
    </w:p>
    <w:p>
      <w:pPr>
        <w:pStyle w:val="21"/>
        <w:ind w:firstLine="600"/>
        <w:rPr>
          <w:rFonts w:hint="eastAsia" w:ascii="仿宋" w:hAnsi="仿宋" w:eastAsia="仿宋" w:cs="仿宋"/>
          <w:sz w:val="28"/>
          <w:szCs w:val="28"/>
        </w:rPr>
      </w:pPr>
      <w:r>
        <w:rPr>
          <w:rFonts w:hint="eastAsia" w:ascii="仿宋" w:hAnsi="仿宋" w:eastAsia="仿宋" w:cs="仿宋"/>
          <w:sz w:val="28"/>
          <w:szCs w:val="28"/>
        </w:rPr>
        <w:t>本项目绩效评价遵循以下原则：</w:t>
      </w:r>
    </w:p>
    <w:p>
      <w:pPr>
        <w:pStyle w:val="21"/>
        <w:ind w:firstLine="600"/>
        <w:rPr>
          <w:rFonts w:hint="eastAsia" w:ascii="仿宋" w:hAnsi="仿宋" w:eastAsia="仿宋" w:cs="仿宋"/>
          <w:sz w:val="28"/>
          <w:szCs w:val="28"/>
        </w:rPr>
      </w:pPr>
      <w:r>
        <w:rPr>
          <w:rFonts w:hint="eastAsia" w:ascii="仿宋" w:hAnsi="仿宋" w:eastAsia="仿宋" w:cs="仿宋"/>
          <w:sz w:val="28"/>
          <w:szCs w:val="28"/>
        </w:rPr>
        <w:t>（1）科学规范原则；</w:t>
      </w:r>
    </w:p>
    <w:p>
      <w:pPr>
        <w:pStyle w:val="21"/>
        <w:ind w:firstLine="600"/>
        <w:rPr>
          <w:rFonts w:hint="eastAsia" w:ascii="仿宋" w:hAnsi="仿宋" w:eastAsia="仿宋" w:cs="仿宋"/>
          <w:sz w:val="28"/>
          <w:szCs w:val="28"/>
        </w:rPr>
      </w:pPr>
      <w:r>
        <w:rPr>
          <w:rFonts w:hint="eastAsia" w:ascii="仿宋" w:hAnsi="仿宋" w:eastAsia="仿宋" w:cs="仿宋"/>
          <w:sz w:val="28"/>
          <w:szCs w:val="28"/>
        </w:rPr>
        <w:t>（2）公正公开原则；</w:t>
      </w:r>
    </w:p>
    <w:p>
      <w:pPr>
        <w:pStyle w:val="21"/>
        <w:ind w:firstLine="600"/>
        <w:rPr>
          <w:rFonts w:hint="eastAsia" w:ascii="仿宋" w:hAnsi="仿宋" w:eastAsia="仿宋" w:cs="仿宋"/>
          <w:sz w:val="28"/>
          <w:szCs w:val="28"/>
        </w:rPr>
      </w:pPr>
      <w:r>
        <w:rPr>
          <w:rFonts w:hint="eastAsia" w:ascii="仿宋" w:hAnsi="仿宋" w:eastAsia="仿宋" w:cs="仿宋"/>
          <w:sz w:val="28"/>
          <w:szCs w:val="28"/>
        </w:rPr>
        <w:t>（3）分级分类原则；</w:t>
      </w:r>
    </w:p>
    <w:p>
      <w:pPr>
        <w:pStyle w:val="21"/>
        <w:ind w:firstLine="600"/>
        <w:rPr>
          <w:rFonts w:hint="eastAsia" w:ascii="仿宋" w:hAnsi="仿宋" w:eastAsia="仿宋" w:cs="仿宋"/>
          <w:sz w:val="28"/>
          <w:szCs w:val="28"/>
        </w:rPr>
      </w:pPr>
      <w:r>
        <w:rPr>
          <w:rFonts w:hint="eastAsia" w:ascii="仿宋" w:hAnsi="仿宋" w:eastAsia="仿宋" w:cs="仿宋"/>
          <w:sz w:val="28"/>
          <w:szCs w:val="28"/>
        </w:rPr>
        <w:t>（4）绩效相关原则。</w:t>
      </w:r>
    </w:p>
    <w:p>
      <w:pPr>
        <w:spacing w:line="560" w:lineRule="exact"/>
        <w:ind w:firstLine="562" w:firstLineChars="200"/>
        <w:rPr>
          <w:rFonts w:hint="eastAsia" w:ascii="仿宋" w:hAnsi="仿宋" w:eastAsia="仿宋" w:cs="仿宋"/>
          <w:b/>
          <w:bCs/>
          <w:sz w:val="28"/>
          <w:szCs w:val="28"/>
        </w:rPr>
      </w:pPr>
      <w:bookmarkStart w:id="23" w:name="_Toc25728"/>
      <w:bookmarkStart w:id="24" w:name="_Toc6146777"/>
      <w:bookmarkStart w:id="25" w:name="_Toc5980462"/>
      <w:bookmarkStart w:id="26" w:name="_Toc6241116"/>
      <w:r>
        <w:rPr>
          <w:rFonts w:hint="eastAsia" w:ascii="仿宋" w:hAnsi="仿宋" w:eastAsia="仿宋" w:cs="仿宋"/>
          <w:b/>
          <w:bCs/>
          <w:sz w:val="28"/>
          <w:szCs w:val="28"/>
        </w:rPr>
        <w:t>（三）绩效评价指标体系</w:t>
      </w:r>
      <w:bookmarkEnd w:id="23"/>
      <w:bookmarkEnd w:id="24"/>
      <w:bookmarkEnd w:id="25"/>
      <w:bookmarkEnd w:id="26"/>
    </w:p>
    <w:p>
      <w:pPr>
        <w:pStyle w:val="21"/>
        <w:ind w:firstLine="600"/>
        <w:rPr>
          <w:rFonts w:hint="eastAsia" w:ascii="仿宋" w:hAnsi="仿宋" w:eastAsia="仿宋" w:cs="仿宋"/>
          <w:sz w:val="28"/>
          <w:szCs w:val="28"/>
        </w:rPr>
      </w:pPr>
      <w:bookmarkStart w:id="27" w:name="_Toc5980463"/>
      <w:r>
        <w:rPr>
          <w:rFonts w:hint="eastAsia" w:ascii="仿宋" w:hAnsi="仿宋" w:eastAsia="仿宋" w:cs="仿宋"/>
          <w:sz w:val="28"/>
          <w:szCs w:val="28"/>
        </w:rPr>
        <w:t>指标体系包括评价指标表和基础表两部分，评价指标表是评价的依据，基础表是支持评价的基础数据。评价指标体系分别从项目决策、项目管理、项目绩效三个方面对其财政支出进行评价。</w:t>
      </w:r>
    </w:p>
    <w:p>
      <w:pPr>
        <w:spacing w:line="560" w:lineRule="exact"/>
        <w:ind w:firstLine="562" w:firstLineChars="200"/>
        <w:rPr>
          <w:rFonts w:hint="eastAsia" w:ascii="仿宋" w:hAnsi="仿宋" w:eastAsia="仿宋" w:cs="仿宋"/>
          <w:b/>
          <w:bCs/>
          <w:sz w:val="28"/>
          <w:szCs w:val="28"/>
        </w:rPr>
      </w:pPr>
      <w:bookmarkStart w:id="28" w:name="_Toc4745"/>
      <w:bookmarkStart w:id="29" w:name="_Toc6241117"/>
      <w:bookmarkStart w:id="30" w:name="_Toc6146778"/>
      <w:r>
        <w:rPr>
          <w:rFonts w:hint="eastAsia" w:ascii="仿宋" w:hAnsi="仿宋" w:eastAsia="仿宋" w:cs="仿宋"/>
          <w:b/>
          <w:bCs/>
          <w:sz w:val="28"/>
          <w:szCs w:val="28"/>
        </w:rPr>
        <w:t>（四）绩效评价方法</w:t>
      </w:r>
      <w:bookmarkEnd w:id="27"/>
      <w:bookmarkEnd w:id="28"/>
      <w:bookmarkEnd w:id="29"/>
      <w:bookmarkEnd w:id="30"/>
    </w:p>
    <w:p>
      <w:pPr>
        <w:pStyle w:val="21"/>
        <w:ind w:firstLine="600"/>
        <w:rPr>
          <w:rFonts w:hint="eastAsia" w:ascii="仿宋" w:hAnsi="仿宋" w:eastAsia="仿宋" w:cs="仿宋"/>
          <w:sz w:val="28"/>
          <w:szCs w:val="28"/>
        </w:rPr>
      </w:pPr>
      <w:r>
        <w:rPr>
          <w:rFonts w:hint="eastAsia" w:ascii="仿宋" w:hAnsi="仿宋" w:eastAsia="仿宋" w:cs="仿宋"/>
          <w:sz w:val="28"/>
          <w:szCs w:val="28"/>
        </w:rPr>
        <w:t>本次绩效评价主要采用了：比较法、因素分析法、专家评判法。</w:t>
      </w:r>
    </w:p>
    <w:p>
      <w:p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（五）绩效评价工作过程</w:t>
      </w:r>
    </w:p>
    <w:p>
      <w:pPr>
        <w:ind w:firstLine="562"/>
        <w:rPr>
          <w:rFonts w:hint="eastAsia" w:ascii="仿宋" w:hAnsi="仿宋" w:eastAsia="仿宋" w:cs="仿宋"/>
          <w:b/>
          <w:bCs/>
          <w:sz w:val="28"/>
          <w:szCs w:val="28"/>
        </w:rPr>
      </w:pPr>
      <w:bookmarkStart w:id="31" w:name="_Toc30882"/>
      <w:r>
        <w:rPr>
          <w:rFonts w:hint="eastAsia" w:ascii="仿宋" w:hAnsi="仿宋" w:eastAsia="仿宋" w:cs="仿宋"/>
          <w:kern w:val="2"/>
          <w:sz w:val="28"/>
          <w:szCs w:val="28"/>
          <w:lang w:val="en-US" w:eastAsia="zh-CN" w:bidi="ar-SA"/>
        </w:rPr>
        <w:t>根据《南昌市财政局关于开展2019年度市级部门财政项目支出绩效评价工作的通知》的要求，局机关召集各相关项目负责人于2020年3月23日开展2019年项目支出绩效评价工作会议，会议中详细探讨该项工作的开展情况，并对金额较大的项目重点分析，要求各项目负责人积极开展项目绩效自评工作。5月15日，项目绩效评价小组在我局1929会议室根据项目情况讨论研究进行复评并形成评价报告</w:t>
      </w:r>
      <w:r>
        <w:rPr>
          <w:rFonts w:hint="eastAsia" w:ascii="仿宋" w:hAnsi="仿宋" w:eastAsia="仿宋" w:cs="仿宋"/>
          <w:b/>
          <w:bCs/>
          <w:sz w:val="28"/>
          <w:szCs w:val="28"/>
        </w:rPr>
        <w:t>1、成立绩效评价项目小组</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2020年3月20日-3月23日</w:t>
      </w:r>
      <w:r>
        <w:rPr>
          <w:rFonts w:hint="eastAsia" w:ascii="仿宋" w:hAnsi="仿宋" w:eastAsia="仿宋" w:cs="仿宋"/>
          <w:b/>
          <w:bCs/>
          <w:sz w:val="28"/>
          <w:szCs w:val="28"/>
          <w:lang w:eastAsia="zh-CN"/>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根据南昌市财政局《关于开展2019年度市直部门财政项目支出绩效评价工作的通知》(洪财办[2020]10号)文件要求，成立了绩效评价项目小组，具体实施项目绩效评价工作。</w:t>
      </w:r>
    </w:p>
    <w:p>
      <w:pPr>
        <w:ind w:firstLine="562"/>
        <w:rPr>
          <w:rFonts w:hint="eastAsia" w:ascii="仿宋" w:hAnsi="仿宋" w:eastAsia="仿宋" w:cs="仿宋"/>
          <w:b/>
          <w:bCs/>
          <w:sz w:val="28"/>
          <w:szCs w:val="28"/>
        </w:rPr>
      </w:pPr>
      <w:r>
        <w:rPr>
          <w:rFonts w:hint="eastAsia" w:ascii="仿宋" w:hAnsi="仿宋" w:eastAsia="仿宋" w:cs="仿宋"/>
          <w:b/>
          <w:bCs/>
          <w:sz w:val="28"/>
          <w:szCs w:val="28"/>
        </w:rPr>
        <w:t>2、绩效评价实施过程</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2020年3月24日-4月10日</w:t>
      </w:r>
      <w:r>
        <w:rPr>
          <w:rFonts w:hint="eastAsia" w:ascii="仿宋" w:hAnsi="仿宋" w:eastAsia="仿宋" w:cs="仿宋"/>
          <w:b/>
          <w:bCs/>
          <w:sz w:val="28"/>
          <w:szCs w:val="28"/>
          <w:lang w:eastAsia="zh-CN"/>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制定项目绩效评价工作方案，工作方案包括项目绩效评价实施方案、评价指标体系及评价标准、基础数据表、绩效评价资料清单。项目小组对项目绩效评价相关事项进行讨论与研究，确定评价证据、数据来源及证据收集方法。</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(2)根据制定的项目绩效评价工作方案，收集项目情况实施材料，包括收集、审核基础资料;对收集的证据运用科学的方法进行综合分析。</w:t>
      </w:r>
    </w:p>
    <w:p>
      <w:pPr>
        <w:ind w:firstLine="562"/>
        <w:rPr>
          <w:rFonts w:hint="eastAsia" w:ascii="仿宋" w:hAnsi="仿宋" w:eastAsia="仿宋" w:cs="仿宋"/>
          <w:b/>
          <w:bCs/>
          <w:sz w:val="28"/>
          <w:szCs w:val="28"/>
        </w:rPr>
      </w:pPr>
      <w:r>
        <w:rPr>
          <w:rFonts w:hint="eastAsia" w:ascii="仿宋" w:hAnsi="仿宋" w:eastAsia="仿宋" w:cs="仿宋"/>
          <w:b/>
          <w:bCs/>
          <w:sz w:val="28"/>
          <w:szCs w:val="28"/>
        </w:rPr>
        <w:t>3、建立绩效评价工作档案</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2020年4月11日-4月15日</w:t>
      </w:r>
      <w:r>
        <w:rPr>
          <w:rFonts w:hint="eastAsia" w:ascii="仿宋" w:hAnsi="仿宋" w:eastAsia="仿宋" w:cs="仿宋"/>
          <w:b/>
          <w:bCs/>
          <w:sz w:val="28"/>
          <w:szCs w:val="28"/>
          <w:lang w:eastAsia="zh-CN"/>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绩效评价项目小组对项目评价工作进行总结，将工作背景、时间地点、工作基本情况、评价结果、评价等级、评价工作中的问题及工作建议等形成书面材料，建立项目评价工作档案。</w:t>
      </w:r>
    </w:p>
    <w:p>
      <w:pPr>
        <w:ind w:firstLine="562"/>
        <w:rPr>
          <w:rFonts w:hint="eastAsia" w:ascii="仿宋" w:hAnsi="仿宋" w:eastAsia="仿宋" w:cs="仿宋"/>
          <w:b/>
          <w:bCs/>
          <w:sz w:val="28"/>
          <w:szCs w:val="28"/>
        </w:rPr>
      </w:pPr>
      <w:r>
        <w:rPr>
          <w:rFonts w:hint="eastAsia" w:ascii="仿宋" w:hAnsi="仿宋" w:eastAsia="仿宋" w:cs="仿宋"/>
          <w:b/>
          <w:bCs/>
          <w:sz w:val="28"/>
          <w:szCs w:val="28"/>
        </w:rPr>
        <w:t xml:space="preserve"> 4、证据收集方法</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本项目主要采用查阅相关文件、合同、抽查会计凭证账表等资料，并通过社会调查等掌握具体情况，对采集的数据和资料进行详细的分析和统计。</w:t>
      </w:r>
    </w:p>
    <w:p>
      <w:pPr>
        <w:ind w:firstLine="562"/>
        <w:rPr>
          <w:rFonts w:hint="eastAsia" w:ascii="仿宋" w:hAnsi="仿宋" w:eastAsia="仿宋" w:cs="仿宋"/>
          <w:b/>
          <w:bCs/>
          <w:sz w:val="28"/>
          <w:szCs w:val="28"/>
        </w:rPr>
      </w:pPr>
      <w:r>
        <w:rPr>
          <w:rFonts w:hint="eastAsia" w:ascii="仿宋" w:hAnsi="仿宋" w:eastAsia="仿宋" w:cs="仿宋"/>
          <w:b/>
          <w:bCs/>
          <w:sz w:val="28"/>
          <w:szCs w:val="28"/>
        </w:rPr>
        <w:t>5、本次绩效评价的局限性</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评价小组在整个绩效评价过程中，根据本项目的绩效评价指标体系，编制绩效评价工作方案、收集和分析项目数据，在充分调研的基础上秉着客观、公正的评价原则，撰写项目绩效评价报告。但由于时间、成本和精力的限制，本绩效评价报告可能还存在不尽完善之处，如由于受调查对象范围的限制，或项目对象属性专业性较强，未能充分掌握项目绩效存在的问题。</w:t>
      </w:r>
    </w:p>
    <w:bookmarkEnd w:id="31"/>
    <w:p>
      <w:pPr>
        <w:keepNext w:val="0"/>
        <w:keepLines w:val="0"/>
        <w:pageBreakBefore w:val="0"/>
        <w:widowControl w:val="0"/>
        <w:numPr>
          <w:ilvl w:val="0"/>
          <w:numId w:val="7"/>
        </w:numPr>
        <w:kinsoku/>
        <w:wordWrap/>
        <w:overflowPunct/>
        <w:topLinePunct w:val="0"/>
        <w:autoSpaceDE/>
        <w:autoSpaceDN/>
        <w:bidi w:val="0"/>
        <w:adjustRightInd/>
        <w:snapToGrid/>
        <w:ind w:left="0" w:leftChars="0" w:firstLine="562" w:firstLineChars="200"/>
        <w:textAlignment w:val="auto"/>
        <w:rPr>
          <w:rFonts w:hint="eastAsia" w:ascii="仿宋" w:hAnsi="仿宋" w:eastAsia="仿宋" w:cs="仿宋"/>
          <w:b/>
          <w:bCs w:val="0"/>
          <w:sz w:val="28"/>
          <w:szCs w:val="28"/>
        </w:rPr>
      </w:pPr>
      <w:r>
        <w:rPr>
          <w:rFonts w:hint="eastAsia" w:ascii="仿宋" w:hAnsi="仿宋" w:eastAsia="仿宋" w:cs="仿宋"/>
          <w:b/>
          <w:bCs/>
          <w:sz w:val="28"/>
          <w:szCs w:val="28"/>
          <w:lang w:val="en-US" w:eastAsia="zh-CN"/>
        </w:rPr>
        <w:t>综合评价情况及评价结论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该项目围绕绩效评价指标体系，通过数据采集及综合分析等方式，对本项目绩效进行了客观、公正的评价，最终自评得分为96分，复评得分96分，评价等级为“优”。</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仿宋" w:hAnsi="仿宋" w:eastAsia="仿宋" w:cs="仿宋"/>
          <w:b/>
          <w:bCs w:val="0"/>
          <w:sz w:val="28"/>
          <w:szCs w:val="28"/>
        </w:rPr>
      </w:pPr>
    </w:p>
    <w:tbl>
      <w:tblPr>
        <w:tblStyle w:val="18"/>
        <w:tblW w:w="9854" w:type="dxa"/>
        <w:jc w:val="center"/>
        <w:tblLayout w:type="fixed"/>
        <w:tblCellMar>
          <w:top w:w="0" w:type="dxa"/>
          <w:left w:w="108" w:type="dxa"/>
          <w:bottom w:w="0" w:type="dxa"/>
          <w:right w:w="108" w:type="dxa"/>
        </w:tblCellMar>
      </w:tblPr>
      <w:tblGrid>
        <w:gridCol w:w="639"/>
        <w:gridCol w:w="703"/>
        <w:gridCol w:w="1565"/>
        <w:gridCol w:w="699"/>
        <w:gridCol w:w="1416"/>
        <w:gridCol w:w="1338"/>
        <w:gridCol w:w="1312"/>
        <w:gridCol w:w="570"/>
        <w:gridCol w:w="510"/>
        <w:gridCol w:w="585"/>
        <w:gridCol w:w="517"/>
      </w:tblGrid>
      <w:tr>
        <w:tblPrEx>
          <w:tblCellMar>
            <w:top w:w="0" w:type="dxa"/>
            <w:left w:w="108" w:type="dxa"/>
            <w:bottom w:w="0" w:type="dxa"/>
            <w:right w:w="108" w:type="dxa"/>
          </w:tblCellMar>
        </w:tblPrEx>
        <w:trPr>
          <w:trHeight w:val="454" w:hRule="atLeast"/>
          <w:jc w:val="center"/>
        </w:trPr>
        <w:tc>
          <w:tcPr>
            <w:tcW w:w="9854" w:type="dxa"/>
            <w:gridSpan w:val="11"/>
            <w:tcBorders>
              <w:top w:val="nil"/>
              <w:left w:val="nil"/>
              <w:bottom w:val="nil"/>
              <w:right w:val="nil"/>
            </w:tcBorders>
            <w:vAlign w:val="center"/>
          </w:tcPr>
          <w:p>
            <w:pPr>
              <w:widowControl/>
              <w:spacing w:line="400" w:lineRule="exact"/>
              <w:jc w:val="center"/>
              <w:rPr>
                <w:rFonts w:ascii="方正小标宋简体" w:hAnsi="宋体"/>
                <w:kern w:val="0"/>
                <w:sz w:val="36"/>
                <w:szCs w:val="36"/>
              </w:rPr>
            </w:pPr>
            <w:r>
              <w:rPr>
                <w:rFonts w:hint="eastAsia" w:ascii="方正小标宋简体" w:hAnsi="宋体"/>
                <w:kern w:val="0"/>
                <w:sz w:val="36"/>
                <w:szCs w:val="36"/>
                <w:lang w:val="en-US" w:eastAsia="zh-CN"/>
              </w:rPr>
              <w:t xml:space="preserve"> </w:t>
            </w:r>
            <w:r>
              <w:rPr>
                <w:rFonts w:ascii="方正小标宋简体" w:hAnsi="宋体"/>
                <w:kern w:val="0"/>
                <w:sz w:val="36"/>
                <w:szCs w:val="36"/>
              </w:rPr>
              <w:t>项目支出绩效自评表</w:t>
            </w:r>
          </w:p>
        </w:tc>
      </w:tr>
      <w:tr>
        <w:tblPrEx>
          <w:tblCellMar>
            <w:top w:w="0" w:type="dxa"/>
            <w:left w:w="108" w:type="dxa"/>
            <w:bottom w:w="0" w:type="dxa"/>
            <w:right w:w="108" w:type="dxa"/>
          </w:tblCellMar>
        </w:tblPrEx>
        <w:trPr>
          <w:trHeight w:val="370" w:hRule="atLeast"/>
          <w:jc w:val="center"/>
        </w:trPr>
        <w:tc>
          <w:tcPr>
            <w:tcW w:w="9854" w:type="dxa"/>
            <w:gridSpan w:val="11"/>
            <w:tcBorders>
              <w:top w:val="nil"/>
              <w:left w:val="nil"/>
              <w:bottom w:val="nil"/>
              <w:right w:val="nil"/>
            </w:tcBorders>
          </w:tcPr>
          <w:p>
            <w:pPr>
              <w:widowControl/>
              <w:jc w:val="center"/>
              <w:rPr>
                <w:rFonts w:ascii="黑体" w:hAnsi="宋体" w:eastAsia="黑体"/>
                <w:kern w:val="0"/>
              </w:rPr>
            </w:pPr>
            <w:r>
              <w:rPr>
                <w:rFonts w:hint="eastAsia" w:ascii="黑体" w:hAnsi="宋体" w:eastAsia="黑体"/>
                <w:kern w:val="0"/>
              </w:rPr>
              <w:t>（ 2019 年度）</w:t>
            </w:r>
          </w:p>
        </w:tc>
      </w:tr>
      <w:tr>
        <w:tblPrEx>
          <w:tblCellMar>
            <w:top w:w="0" w:type="dxa"/>
            <w:left w:w="108" w:type="dxa"/>
            <w:bottom w:w="0" w:type="dxa"/>
            <w:right w:w="108" w:type="dxa"/>
          </w:tblCellMar>
        </w:tblPrEx>
        <w:trPr>
          <w:trHeight w:val="300" w:hRule="atLeast"/>
          <w:jc w:val="center"/>
        </w:trPr>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项目名称</w:t>
            </w:r>
          </w:p>
        </w:tc>
        <w:tc>
          <w:tcPr>
            <w:tcW w:w="8512"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宋体" w:hAnsi="宋体"/>
                <w:b/>
                <w:bCs/>
              </w:rPr>
              <w:t>南昌市建设用地使用权二级市场项目</w:t>
            </w:r>
          </w:p>
        </w:tc>
      </w:tr>
      <w:tr>
        <w:tblPrEx>
          <w:tblCellMar>
            <w:top w:w="0" w:type="dxa"/>
            <w:left w:w="108" w:type="dxa"/>
            <w:bottom w:w="0" w:type="dxa"/>
            <w:right w:w="108" w:type="dxa"/>
          </w:tblCellMar>
        </w:tblPrEx>
        <w:trPr>
          <w:trHeight w:val="300" w:hRule="atLeast"/>
          <w:jc w:val="center"/>
        </w:trPr>
        <w:tc>
          <w:tcPr>
            <w:tcW w:w="134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主管部门</w:t>
            </w:r>
          </w:p>
        </w:tc>
        <w:tc>
          <w:tcPr>
            <w:tcW w:w="501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ascii="黑体" w:hAnsi="宋体" w:eastAsia="黑体"/>
                <w:kern w:val="0"/>
              </w:rPr>
              <w:t>南昌市自然资源局</w:t>
            </w:r>
          </w:p>
        </w:tc>
        <w:tc>
          <w:tcPr>
            <w:tcW w:w="1882"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实施单位</w:t>
            </w:r>
          </w:p>
        </w:tc>
        <w:tc>
          <w:tcPr>
            <w:tcW w:w="161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ascii="黑体" w:hAnsi="宋体" w:eastAsia="黑体"/>
                <w:kern w:val="0"/>
              </w:rPr>
              <w:t>南昌市国土资源档案信息中心</w:t>
            </w:r>
          </w:p>
        </w:tc>
      </w:tr>
      <w:tr>
        <w:tblPrEx>
          <w:tblCellMar>
            <w:top w:w="0" w:type="dxa"/>
            <w:left w:w="108" w:type="dxa"/>
            <w:bottom w:w="0" w:type="dxa"/>
            <w:right w:w="108" w:type="dxa"/>
          </w:tblCellMar>
        </w:tblPrEx>
        <w:trPr>
          <w:trHeight w:val="495" w:hRule="atLeast"/>
          <w:jc w:val="center"/>
        </w:trPr>
        <w:tc>
          <w:tcPr>
            <w:tcW w:w="134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项目资金</w:t>
            </w:r>
            <w:r>
              <w:rPr>
                <w:rFonts w:hint="eastAsia" w:ascii="黑体" w:hAnsi="宋体" w:eastAsia="黑体"/>
                <w:kern w:val="0"/>
              </w:rPr>
              <w:br w:type="textWrapping"/>
            </w:r>
            <w:r>
              <w:rPr>
                <w:rFonts w:hint="eastAsia" w:ascii="黑体" w:hAnsi="宋体" w:eastAsia="黑体"/>
                <w:kern w:val="0"/>
              </w:rPr>
              <w:t>（万元）</w:t>
            </w:r>
          </w:p>
        </w:tc>
        <w:tc>
          <w:tcPr>
            <w:tcW w:w="22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p>
        </w:tc>
        <w:tc>
          <w:tcPr>
            <w:tcW w:w="1416"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年初</w:t>
            </w:r>
          </w:p>
          <w:p>
            <w:pPr>
              <w:widowControl/>
              <w:spacing w:line="240" w:lineRule="exact"/>
              <w:jc w:val="center"/>
              <w:rPr>
                <w:rFonts w:ascii="黑体" w:hAnsi="宋体" w:eastAsia="黑体"/>
                <w:kern w:val="0"/>
              </w:rPr>
            </w:pPr>
            <w:r>
              <w:rPr>
                <w:rFonts w:hint="eastAsia" w:ascii="黑体" w:hAnsi="宋体" w:eastAsia="黑体"/>
                <w:kern w:val="0"/>
              </w:rPr>
              <w:t>预算数</w:t>
            </w:r>
          </w:p>
        </w:tc>
        <w:tc>
          <w:tcPr>
            <w:tcW w:w="1338"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全年</w:t>
            </w:r>
          </w:p>
          <w:p>
            <w:pPr>
              <w:widowControl/>
              <w:spacing w:line="240" w:lineRule="exact"/>
              <w:jc w:val="center"/>
              <w:rPr>
                <w:rFonts w:ascii="黑体" w:hAnsi="宋体" w:eastAsia="黑体"/>
                <w:kern w:val="0"/>
              </w:rPr>
            </w:pPr>
            <w:r>
              <w:rPr>
                <w:rFonts w:hint="eastAsia" w:ascii="黑体" w:hAnsi="宋体" w:eastAsia="黑体"/>
                <w:kern w:val="0"/>
              </w:rPr>
              <w:t>预算数</w:t>
            </w:r>
          </w:p>
        </w:tc>
        <w:tc>
          <w:tcPr>
            <w:tcW w:w="1882"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全年</w:t>
            </w:r>
          </w:p>
          <w:p>
            <w:pPr>
              <w:widowControl/>
              <w:spacing w:line="240" w:lineRule="exact"/>
              <w:jc w:val="center"/>
              <w:rPr>
                <w:rFonts w:ascii="黑体" w:hAnsi="宋体" w:eastAsia="黑体"/>
                <w:kern w:val="0"/>
              </w:rPr>
            </w:pPr>
            <w:r>
              <w:rPr>
                <w:rFonts w:hint="eastAsia" w:ascii="黑体" w:hAnsi="宋体" w:eastAsia="黑体"/>
                <w:kern w:val="0"/>
              </w:rPr>
              <w:t>执行数</w:t>
            </w:r>
          </w:p>
        </w:tc>
        <w:tc>
          <w:tcPr>
            <w:tcW w:w="51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分值</w:t>
            </w:r>
          </w:p>
        </w:tc>
        <w:tc>
          <w:tcPr>
            <w:tcW w:w="5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执行率</w:t>
            </w:r>
          </w:p>
        </w:tc>
        <w:tc>
          <w:tcPr>
            <w:tcW w:w="517"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得分</w:t>
            </w:r>
          </w:p>
        </w:tc>
      </w:tr>
      <w:tr>
        <w:tblPrEx>
          <w:tblCellMar>
            <w:top w:w="0" w:type="dxa"/>
            <w:left w:w="108" w:type="dxa"/>
            <w:bottom w:w="0" w:type="dxa"/>
            <w:right w:w="108" w:type="dxa"/>
          </w:tblCellMar>
        </w:tblPrEx>
        <w:trPr>
          <w:trHeight w:val="417" w:hRule="atLeast"/>
          <w:jc w:val="center"/>
        </w:trPr>
        <w:tc>
          <w:tcPr>
            <w:tcW w:w="134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kern w:val="0"/>
              </w:rPr>
            </w:pPr>
          </w:p>
        </w:tc>
        <w:tc>
          <w:tcPr>
            <w:tcW w:w="2264"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黑体" w:hAnsi="宋体" w:eastAsia="黑体"/>
                <w:kern w:val="0"/>
              </w:rPr>
            </w:pPr>
            <w:r>
              <w:rPr>
                <w:rFonts w:hint="eastAsia" w:ascii="黑体" w:hAnsi="宋体" w:eastAsia="黑体"/>
                <w:kern w:val="0"/>
              </w:rPr>
              <w:t>年度资金总额</w:t>
            </w:r>
          </w:p>
        </w:tc>
        <w:tc>
          <w:tcPr>
            <w:tcW w:w="141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220.825万元</w:t>
            </w:r>
          </w:p>
        </w:tc>
        <w:tc>
          <w:tcPr>
            <w:tcW w:w="1338" w:type="dxa"/>
            <w:tcBorders>
              <w:top w:val="nil"/>
              <w:left w:val="nil"/>
              <w:bottom w:val="single" w:color="auto" w:sz="4" w:space="0"/>
              <w:right w:val="single" w:color="auto" w:sz="4" w:space="0"/>
            </w:tcBorders>
            <w:vAlign w:val="center"/>
          </w:tcPr>
          <w:p>
            <w:pPr>
              <w:rPr>
                <w:rFonts w:hint="eastAsia" w:ascii="仿宋" w:hAnsi="仿宋" w:eastAsia="仿宋" w:cs="仿宋"/>
                <w:sz w:val="18"/>
                <w:szCs w:val="18"/>
              </w:rPr>
            </w:pPr>
            <w:r>
              <w:rPr>
                <w:rFonts w:hint="eastAsia" w:ascii="仿宋" w:hAnsi="仿宋" w:eastAsia="仿宋" w:cs="仿宋"/>
                <w:sz w:val="18"/>
                <w:szCs w:val="18"/>
              </w:rPr>
              <w:t>220.825万元</w:t>
            </w:r>
          </w:p>
        </w:tc>
        <w:tc>
          <w:tcPr>
            <w:tcW w:w="1882" w:type="dxa"/>
            <w:gridSpan w:val="2"/>
            <w:tcBorders>
              <w:top w:val="nil"/>
              <w:left w:val="nil"/>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220.825万元</w:t>
            </w:r>
          </w:p>
        </w:tc>
        <w:tc>
          <w:tcPr>
            <w:tcW w:w="510"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10</w:t>
            </w:r>
          </w:p>
        </w:tc>
        <w:tc>
          <w:tcPr>
            <w:tcW w:w="5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100%</w:t>
            </w:r>
          </w:p>
        </w:tc>
        <w:tc>
          <w:tcPr>
            <w:tcW w:w="517"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10</w:t>
            </w:r>
          </w:p>
        </w:tc>
      </w:tr>
      <w:tr>
        <w:tblPrEx>
          <w:tblCellMar>
            <w:top w:w="0" w:type="dxa"/>
            <w:left w:w="108" w:type="dxa"/>
            <w:bottom w:w="0" w:type="dxa"/>
            <w:right w:w="108" w:type="dxa"/>
          </w:tblCellMar>
        </w:tblPrEx>
        <w:trPr>
          <w:trHeight w:val="358" w:hRule="atLeast"/>
          <w:jc w:val="center"/>
        </w:trPr>
        <w:tc>
          <w:tcPr>
            <w:tcW w:w="134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kern w:val="0"/>
              </w:rPr>
            </w:pPr>
          </w:p>
        </w:tc>
        <w:tc>
          <w:tcPr>
            <w:tcW w:w="22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其中：当年财政拨款</w:t>
            </w:r>
          </w:p>
        </w:tc>
        <w:tc>
          <w:tcPr>
            <w:tcW w:w="1416"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仿宋" w:hAnsi="仿宋" w:eastAsia="仿宋" w:cs="仿宋"/>
                <w:sz w:val="18"/>
                <w:szCs w:val="18"/>
              </w:rPr>
              <w:t>220.825万元</w:t>
            </w:r>
          </w:p>
        </w:tc>
        <w:tc>
          <w:tcPr>
            <w:tcW w:w="1338"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仿宋" w:hAnsi="仿宋" w:eastAsia="仿宋" w:cs="仿宋"/>
                <w:sz w:val="18"/>
                <w:szCs w:val="18"/>
              </w:rPr>
              <w:t>220.825万元</w:t>
            </w:r>
          </w:p>
        </w:tc>
        <w:tc>
          <w:tcPr>
            <w:tcW w:w="1882"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仿宋" w:hAnsi="仿宋" w:eastAsia="仿宋" w:cs="仿宋"/>
                <w:sz w:val="18"/>
                <w:szCs w:val="18"/>
              </w:rPr>
              <w:t>220.825万元</w:t>
            </w:r>
          </w:p>
        </w:tc>
        <w:tc>
          <w:tcPr>
            <w:tcW w:w="510" w:type="dxa"/>
            <w:tcBorders>
              <w:top w:val="nil"/>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5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100%</w:t>
            </w:r>
          </w:p>
        </w:tc>
        <w:tc>
          <w:tcPr>
            <w:tcW w:w="517" w:type="dxa"/>
            <w:tcBorders>
              <w:top w:val="nil"/>
              <w:left w:val="nil"/>
              <w:bottom w:val="single" w:color="auto" w:sz="4" w:space="0"/>
              <w:right w:val="single" w:color="auto" w:sz="4" w:space="0"/>
            </w:tcBorders>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r>
      <w:tr>
        <w:tblPrEx>
          <w:tblCellMar>
            <w:top w:w="0" w:type="dxa"/>
            <w:left w:w="108" w:type="dxa"/>
            <w:bottom w:w="0" w:type="dxa"/>
            <w:right w:w="108" w:type="dxa"/>
          </w:tblCellMar>
        </w:tblPrEx>
        <w:trPr>
          <w:trHeight w:val="347" w:hRule="atLeast"/>
          <w:jc w:val="center"/>
        </w:trPr>
        <w:tc>
          <w:tcPr>
            <w:tcW w:w="134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kern w:val="0"/>
              </w:rPr>
            </w:pPr>
          </w:p>
        </w:tc>
        <w:tc>
          <w:tcPr>
            <w:tcW w:w="22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 xml:space="preserve">      上年结转资金</w:t>
            </w:r>
          </w:p>
        </w:tc>
        <w:tc>
          <w:tcPr>
            <w:tcW w:w="1416"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p>
        </w:tc>
        <w:tc>
          <w:tcPr>
            <w:tcW w:w="1338"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p>
        </w:tc>
        <w:tc>
          <w:tcPr>
            <w:tcW w:w="1882"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p>
        </w:tc>
        <w:tc>
          <w:tcPr>
            <w:tcW w:w="51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w:t>
            </w:r>
          </w:p>
        </w:tc>
        <w:tc>
          <w:tcPr>
            <w:tcW w:w="5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p>
        </w:tc>
        <w:tc>
          <w:tcPr>
            <w:tcW w:w="517"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w:t>
            </w:r>
          </w:p>
        </w:tc>
      </w:tr>
      <w:tr>
        <w:tblPrEx>
          <w:tblCellMar>
            <w:top w:w="0" w:type="dxa"/>
            <w:left w:w="108" w:type="dxa"/>
            <w:bottom w:w="0" w:type="dxa"/>
            <w:right w:w="108" w:type="dxa"/>
          </w:tblCellMar>
        </w:tblPrEx>
        <w:trPr>
          <w:trHeight w:val="355" w:hRule="atLeast"/>
          <w:jc w:val="center"/>
        </w:trPr>
        <w:tc>
          <w:tcPr>
            <w:tcW w:w="134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kern w:val="0"/>
              </w:rPr>
            </w:pPr>
          </w:p>
        </w:tc>
        <w:tc>
          <w:tcPr>
            <w:tcW w:w="226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 xml:space="preserve">  其他资金</w:t>
            </w:r>
          </w:p>
        </w:tc>
        <w:tc>
          <w:tcPr>
            <w:tcW w:w="1416"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p>
        </w:tc>
        <w:tc>
          <w:tcPr>
            <w:tcW w:w="1338"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p>
        </w:tc>
        <w:tc>
          <w:tcPr>
            <w:tcW w:w="1882" w:type="dxa"/>
            <w:gridSpan w:val="2"/>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p>
        </w:tc>
        <w:tc>
          <w:tcPr>
            <w:tcW w:w="510"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w:t>
            </w:r>
          </w:p>
        </w:tc>
        <w:tc>
          <w:tcPr>
            <w:tcW w:w="5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p>
        </w:tc>
        <w:tc>
          <w:tcPr>
            <w:tcW w:w="517"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w:t>
            </w:r>
          </w:p>
        </w:tc>
      </w:tr>
      <w:tr>
        <w:tblPrEx>
          <w:tblCellMar>
            <w:top w:w="0" w:type="dxa"/>
            <w:left w:w="108" w:type="dxa"/>
            <w:bottom w:w="0" w:type="dxa"/>
            <w:right w:w="108" w:type="dxa"/>
          </w:tblCellMar>
        </w:tblPrEx>
        <w:trPr>
          <w:trHeight w:val="300" w:hRule="atLeast"/>
          <w:jc w:val="center"/>
        </w:trPr>
        <w:tc>
          <w:tcPr>
            <w:tcW w:w="6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年度总体目标</w:t>
            </w:r>
          </w:p>
        </w:tc>
        <w:tc>
          <w:tcPr>
            <w:tcW w:w="572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预期目标</w:t>
            </w:r>
          </w:p>
        </w:tc>
        <w:tc>
          <w:tcPr>
            <w:tcW w:w="349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实际完成情况</w:t>
            </w:r>
          </w:p>
        </w:tc>
      </w:tr>
      <w:tr>
        <w:tblPrEx>
          <w:tblCellMar>
            <w:top w:w="0" w:type="dxa"/>
            <w:left w:w="108" w:type="dxa"/>
            <w:bottom w:w="0" w:type="dxa"/>
            <w:right w:w="108" w:type="dxa"/>
          </w:tblCellMar>
        </w:tblPrEx>
        <w:trPr>
          <w:trHeight w:val="690" w:hRule="atLeast"/>
          <w:jc w:val="center"/>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kern w:val="0"/>
                <w:sz w:val="18"/>
                <w:szCs w:val="18"/>
              </w:rPr>
            </w:pPr>
          </w:p>
        </w:tc>
        <w:tc>
          <w:tcPr>
            <w:tcW w:w="5721"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黑体" w:hAnsi="宋体" w:eastAsia="黑体"/>
                <w:kern w:val="0"/>
                <w:sz w:val="18"/>
                <w:szCs w:val="18"/>
              </w:rPr>
            </w:pPr>
            <w:r>
              <w:rPr>
                <w:rFonts w:hint="eastAsia" w:ascii="仿宋" w:hAnsi="仿宋" w:eastAsia="仿宋" w:cs="仿宋"/>
                <w:sz w:val="18"/>
                <w:szCs w:val="18"/>
                <w:lang w:val="en-US" w:eastAsia="zh-CN"/>
              </w:rPr>
              <w:t>2019年6月，完成土地二级市场交易系统平台建设，并进入试运行阶段。</w:t>
            </w:r>
          </w:p>
        </w:tc>
        <w:tc>
          <w:tcPr>
            <w:tcW w:w="3494" w:type="dxa"/>
            <w:gridSpan w:val="5"/>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黑体" w:hAnsi="宋体" w:eastAsia="黑体"/>
                <w:kern w:val="0"/>
                <w:sz w:val="18"/>
                <w:szCs w:val="18"/>
              </w:rPr>
            </w:pPr>
            <w:r>
              <w:rPr>
                <w:rFonts w:hint="eastAsia" w:ascii="仿宋" w:hAnsi="仿宋" w:eastAsia="仿宋" w:cs="仿宋"/>
                <w:sz w:val="18"/>
                <w:szCs w:val="18"/>
                <w:lang w:val="en-US" w:eastAsia="zh-CN"/>
              </w:rPr>
              <w:t>2019年6月，完成土地二级市场交易系统平台建设，并进入试运行阶段。</w:t>
            </w:r>
          </w:p>
        </w:tc>
      </w:tr>
      <w:tr>
        <w:tblPrEx>
          <w:tblCellMar>
            <w:top w:w="0" w:type="dxa"/>
            <w:left w:w="108" w:type="dxa"/>
            <w:bottom w:w="0" w:type="dxa"/>
            <w:right w:w="108" w:type="dxa"/>
          </w:tblCellMar>
        </w:tblPrEx>
        <w:trPr>
          <w:trHeight w:val="624" w:hRule="atLeast"/>
          <w:jc w:val="center"/>
        </w:trPr>
        <w:tc>
          <w:tcPr>
            <w:tcW w:w="639" w:type="dxa"/>
            <w:vMerge w:val="restart"/>
            <w:tcBorders>
              <w:top w:val="nil"/>
              <w:left w:val="single" w:color="auto" w:sz="4" w:space="0"/>
              <w:bottom w:val="nil"/>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绩</w:t>
            </w:r>
            <w:r>
              <w:rPr>
                <w:rFonts w:hint="eastAsia" w:ascii="黑体" w:hAnsi="宋体" w:eastAsia="黑体"/>
                <w:kern w:val="0"/>
              </w:rPr>
              <w:br w:type="textWrapping"/>
            </w:r>
            <w:r>
              <w:rPr>
                <w:rFonts w:hint="eastAsia" w:ascii="黑体" w:hAnsi="宋体" w:eastAsia="黑体"/>
                <w:kern w:val="0"/>
              </w:rPr>
              <w:t>效</w:t>
            </w:r>
            <w:r>
              <w:rPr>
                <w:rFonts w:hint="eastAsia" w:ascii="黑体" w:hAnsi="宋体" w:eastAsia="黑体"/>
                <w:kern w:val="0"/>
              </w:rPr>
              <w:br w:type="textWrapping"/>
            </w:r>
            <w:r>
              <w:rPr>
                <w:rFonts w:hint="eastAsia" w:ascii="黑体" w:hAnsi="宋体" w:eastAsia="黑体"/>
                <w:kern w:val="0"/>
              </w:rPr>
              <w:t>指</w:t>
            </w:r>
            <w:r>
              <w:rPr>
                <w:rFonts w:hint="eastAsia" w:ascii="黑体" w:hAnsi="宋体" w:eastAsia="黑体"/>
                <w:kern w:val="0"/>
              </w:rPr>
              <w:br w:type="textWrapping"/>
            </w:r>
            <w:r>
              <w:rPr>
                <w:rFonts w:hint="eastAsia" w:ascii="黑体" w:hAnsi="宋体" w:eastAsia="黑体"/>
                <w:kern w:val="0"/>
              </w:rPr>
              <w:t>标</w:t>
            </w:r>
          </w:p>
        </w:tc>
        <w:tc>
          <w:tcPr>
            <w:tcW w:w="703"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一级指标</w:t>
            </w:r>
          </w:p>
        </w:tc>
        <w:tc>
          <w:tcPr>
            <w:tcW w:w="15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二级指标</w:t>
            </w:r>
          </w:p>
        </w:tc>
        <w:tc>
          <w:tcPr>
            <w:tcW w:w="21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三级指标</w:t>
            </w:r>
          </w:p>
        </w:tc>
        <w:tc>
          <w:tcPr>
            <w:tcW w:w="13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年度</w:t>
            </w:r>
          </w:p>
          <w:p>
            <w:pPr>
              <w:widowControl/>
              <w:spacing w:line="240" w:lineRule="exact"/>
              <w:jc w:val="center"/>
              <w:rPr>
                <w:rFonts w:ascii="黑体" w:hAnsi="宋体" w:eastAsia="黑体"/>
                <w:kern w:val="0"/>
              </w:rPr>
            </w:pPr>
            <w:r>
              <w:rPr>
                <w:rFonts w:hint="eastAsia" w:ascii="黑体" w:hAnsi="宋体" w:eastAsia="黑体"/>
                <w:kern w:val="0"/>
              </w:rPr>
              <w:t>指标值</w:t>
            </w:r>
          </w:p>
        </w:tc>
        <w:tc>
          <w:tcPr>
            <w:tcW w:w="13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实际</w:t>
            </w:r>
          </w:p>
          <w:p>
            <w:pPr>
              <w:widowControl/>
              <w:spacing w:line="240" w:lineRule="exact"/>
              <w:jc w:val="center"/>
              <w:rPr>
                <w:rFonts w:ascii="黑体" w:hAnsi="宋体" w:eastAsia="黑体"/>
                <w:kern w:val="0"/>
              </w:rPr>
            </w:pPr>
            <w:r>
              <w:rPr>
                <w:rFonts w:hint="eastAsia" w:ascii="黑体" w:hAnsi="宋体" w:eastAsia="黑体"/>
                <w:kern w:val="0"/>
              </w:rPr>
              <w:t>完成值</w:t>
            </w:r>
          </w:p>
        </w:tc>
        <w:tc>
          <w:tcPr>
            <w:tcW w:w="5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分值</w:t>
            </w: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得分</w:t>
            </w:r>
          </w:p>
        </w:tc>
        <w:tc>
          <w:tcPr>
            <w:tcW w:w="11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偏差原因分析及改进措施</w:t>
            </w:r>
          </w:p>
        </w:tc>
      </w:tr>
      <w:tr>
        <w:tblPrEx>
          <w:tblCellMar>
            <w:top w:w="0" w:type="dxa"/>
            <w:left w:w="108" w:type="dxa"/>
            <w:bottom w:w="0" w:type="dxa"/>
            <w:right w:w="108" w:type="dxa"/>
          </w:tblCellMar>
        </w:tblPrEx>
        <w:trPr>
          <w:trHeight w:val="774" w:hRule="atLeast"/>
          <w:jc w:val="center"/>
        </w:trPr>
        <w:tc>
          <w:tcPr>
            <w:tcW w:w="639"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kern w:val="0"/>
              </w:rPr>
            </w:pPr>
          </w:p>
        </w:tc>
        <w:tc>
          <w:tcPr>
            <w:tcW w:w="703" w:type="dxa"/>
            <w:vMerge w:val="restart"/>
            <w:tcBorders>
              <w:top w:val="nil"/>
              <w:left w:val="nil"/>
              <w:bottom w:val="nil"/>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产出指标</w:t>
            </w:r>
          </w:p>
          <w:p>
            <w:pPr>
              <w:widowControl/>
              <w:spacing w:line="240" w:lineRule="exact"/>
              <w:jc w:val="center"/>
              <w:rPr>
                <w:rFonts w:ascii="黑体" w:hAnsi="宋体" w:eastAsia="黑体"/>
                <w:kern w:val="0"/>
              </w:rPr>
            </w:pPr>
            <w:r>
              <w:rPr>
                <w:rFonts w:hint="eastAsia" w:ascii="黑体" w:hAnsi="宋体" w:eastAsia="黑体"/>
                <w:kern w:val="0"/>
              </w:rPr>
              <w:t>（50分）</w:t>
            </w:r>
          </w:p>
        </w:tc>
        <w:tc>
          <w:tcPr>
            <w:tcW w:w="1565" w:type="dxa"/>
            <w:vMerge w:val="restart"/>
            <w:tcBorders>
              <w:top w:val="single" w:color="auto" w:sz="4" w:space="0"/>
              <w:left w:val="nil"/>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数量指标</w:t>
            </w:r>
          </w:p>
          <w:p>
            <w:pPr>
              <w:widowControl/>
              <w:spacing w:line="240" w:lineRule="exact"/>
              <w:jc w:val="center"/>
              <w:rPr>
                <w:rFonts w:ascii="黑体" w:hAnsi="宋体" w:eastAsia="黑体"/>
                <w:kern w:val="0"/>
              </w:rPr>
            </w:pPr>
            <w:r>
              <w:rPr>
                <w:rFonts w:hint="eastAsia" w:ascii="黑体" w:hAnsi="宋体" w:eastAsia="黑体"/>
                <w:kern w:val="0"/>
              </w:rPr>
              <w:t>（20分）</w:t>
            </w:r>
          </w:p>
        </w:tc>
        <w:tc>
          <w:tcPr>
            <w:tcW w:w="211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olor w:val="000000"/>
                <w:kern w:val="0"/>
                <w:sz w:val="18"/>
                <w:szCs w:val="18"/>
              </w:rPr>
            </w:pPr>
            <w:r>
              <w:rPr>
                <w:rFonts w:hint="eastAsia" w:ascii="仿宋" w:hAnsi="仿宋" w:eastAsia="仿宋"/>
                <w:color w:val="000000"/>
                <w:kern w:val="0"/>
                <w:sz w:val="18"/>
                <w:szCs w:val="18"/>
                <w:lang w:val="en-US" w:eastAsia="zh-CN"/>
              </w:rPr>
              <w:t>1、</w:t>
            </w:r>
            <w:r>
              <w:rPr>
                <w:rFonts w:hint="eastAsia" w:ascii="仿宋" w:hAnsi="仿宋" w:eastAsia="仿宋"/>
                <w:color w:val="000000"/>
                <w:kern w:val="0"/>
                <w:sz w:val="18"/>
                <w:szCs w:val="18"/>
              </w:rPr>
              <w:t>建设土地二级市场交易平台（包含后台管理系统）</w:t>
            </w:r>
          </w:p>
        </w:tc>
        <w:tc>
          <w:tcPr>
            <w:tcW w:w="13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18"/>
                <w:szCs w:val="18"/>
              </w:rPr>
            </w:pPr>
            <w:r>
              <w:rPr>
                <w:rFonts w:hint="eastAsia" w:ascii="仿宋" w:hAnsi="仿宋" w:eastAsia="仿宋"/>
                <w:kern w:val="0"/>
                <w:sz w:val="18"/>
                <w:szCs w:val="18"/>
              </w:rPr>
              <w:t>1个</w:t>
            </w:r>
          </w:p>
        </w:tc>
        <w:tc>
          <w:tcPr>
            <w:tcW w:w="13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18"/>
                <w:szCs w:val="18"/>
              </w:rPr>
            </w:pPr>
            <w:r>
              <w:rPr>
                <w:rFonts w:hint="eastAsia" w:ascii="仿宋" w:hAnsi="仿宋" w:eastAsia="仿宋"/>
                <w:kern w:val="0"/>
                <w:sz w:val="18"/>
                <w:szCs w:val="18"/>
              </w:rPr>
              <w:t>1个</w:t>
            </w:r>
          </w:p>
        </w:tc>
        <w:tc>
          <w:tcPr>
            <w:tcW w:w="5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18"/>
                <w:szCs w:val="18"/>
              </w:rPr>
            </w:pPr>
            <w:r>
              <w:rPr>
                <w:rFonts w:hint="eastAsia" w:ascii="仿宋" w:hAnsi="仿宋" w:eastAsia="仿宋"/>
                <w:kern w:val="0"/>
                <w:sz w:val="18"/>
                <w:szCs w:val="18"/>
              </w:rPr>
              <w:t>5</w:t>
            </w:r>
          </w:p>
        </w:tc>
        <w:tc>
          <w:tcPr>
            <w:tcW w:w="510" w:type="dxa"/>
            <w:vMerge w:val="restart"/>
            <w:tcBorders>
              <w:top w:val="single" w:color="auto" w:sz="4" w:space="0"/>
              <w:left w:val="nil"/>
              <w:right w:val="single" w:color="auto" w:sz="4" w:space="0"/>
            </w:tcBorders>
            <w:vAlign w:val="center"/>
          </w:tcPr>
          <w:p>
            <w:pPr>
              <w:widowControl/>
              <w:spacing w:line="240" w:lineRule="exact"/>
              <w:jc w:val="center"/>
              <w:rPr>
                <w:rFonts w:hint="default" w:ascii="仿宋" w:hAnsi="仿宋" w:eastAsia="仿宋"/>
                <w:kern w:val="0"/>
                <w:sz w:val="18"/>
                <w:szCs w:val="18"/>
                <w:lang w:val="en-US" w:eastAsia="zh-CN"/>
              </w:rPr>
            </w:pPr>
            <w:r>
              <w:rPr>
                <w:rFonts w:hint="eastAsia" w:ascii="仿宋" w:hAnsi="仿宋" w:eastAsia="仿宋"/>
                <w:kern w:val="0"/>
                <w:sz w:val="18"/>
                <w:szCs w:val="18"/>
                <w:lang w:val="en-US" w:eastAsia="zh-CN"/>
              </w:rPr>
              <w:t>18</w:t>
            </w:r>
          </w:p>
        </w:tc>
        <w:tc>
          <w:tcPr>
            <w:tcW w:w="1102" w:type="dxa"/>
            <w:gridSpan w:val="2"/>
            <w:vMerge w:val="restart"/>
            <w:tcBorders>
              <w:top w:val="single" w:color="auto" w:sz="4" w:space="0"/>
              <w:left w:val="nil"/>
              <w:right w:val="single" w:color="auto" w:sz="4" w:space="0"/>
            </w:tcBorders>
            <w:vAlign w:val="center"/>
          </w:tcPr>
          <w:p>
            <w:pPr>
              <w:widowControl/>
              <w:spacing w:line="240" w:lineRule="exact"/>
              <w:jc w:val="center"/>
              <w:rPr>
                <w:rFonts w:ascii="黑体" w:hAnsi="宋体" w:eastAsia="黑体"/>
                <w:kern w:val="0"/>
              </w:rPr>
            </w:pPr>
          </w:p>
        </w:tc>
      </w:tr>
      <w:tr>
        <w:tblPrEx>
          <w:tblCellMar>
            <w:top w:w="0" w:type="dxa"/>
            <w:left w:w="108" w:type="dxa"/>
            <w:bottom w:w="0" w:type="dxa"/>
            <w:right w:w="108" w:type="dxa"/>
          </w:tblCellMar>
        </w:tblPrEx>
        <w:trPr>
          <w:trHeight w:val="615" w:hRule="atLeast"/>
          <w:jc w:val="center"/>
        </w:trPr>
        <w:tc>
          <w:tcPr>
            <w:tcW w:w="639"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kern w:val="0"/>
              </w:rPr>
            </w:pPr>
          </w:p>
        </w:tc>
        <w:tc>
          <w:tcPr>
            <w:tcW w:w="703" w:type="dxa"/>
            <w:vMerge w:val="continue"/>
            <w:tcBorders>
              <w:top w:val="nil"/>
              <w:left w:val="nil"/>
              <w:bottom w:val="nil"/>
              <w:right w:val="single" w:color="auto" w:sz="4" w:space="0"/>
            </w:tcBorders>
            <w:vAlign w:val="center"/>
          </w:tcPr>
          <w:p>
            <w:pPr>
              <w:widowControl/>
              <w:jc w:val="left"/>
              <w:rPr>
                <w:rFonts w:ascii="黑体" w:hAnsi="宋体" w:eastAsia="黑体"/>
                <w:kern w:val="0"/>
              </w:rPr>
            </w:pPr>
          </w:p>
        </w:tc>
        <w:tc>
          <w:tcPr>
            <w:tcW w:w="1565" w:type="dxa"/>
            <w:vMerge w:val="continue"/>
            <w:tcBorders>
              <w:left w:val="nil"/>
              <w:right w:val="single" w:color="auto" w:sz="4" w:space="0"/>
            </w:tcBorders>
            <w:vAlign w:val="center"/>
          </w:tcPr>
          <w:p>
            <w:pPr>
              <w:widowControl/>
              <w:jc w:val="left"/>
              <w:rPr>
                <w:rFonts w:ascii="黑体" w:hAnsi="宋体" w:eastAsia="黑体"/>
                <w:kern w:val="0"/>
              </w:rPr>
            </w:pPr>
          </w:p>
        </w:tc>
        <w:tc>
          <w:tcPr>
            <w:tcW w:w="211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 w:hAnsi="仿宋" w:eastAsia="仿宋"/>
                <w:color w:val="000000"/>
                <w:kern w:val="0"/>
                <w:sz w:val="18"/>
                <w:szCs w:val="18"/>
              </w:rPr>
            </w:pPr>
            <w:r>
              <w:rPr>
                <w:rFonts w:hint="eastAsia" w:ascii="仿宋" w:hAnsi="仿宋" w:eastAsia="仿宋"/>
                <w:color w:val="000000"/>
                <w:kern w:val="0"/>
                <w:sz w:val="18"/>
                <w:szCs w:val="18"/>
                <w:lang w:val="en-US" w:eastAsia="zh-CN"/>
              </w:rPr>
              <w:t>2、</w:t>
            </w:r>
            <w:r>
              <w:rPr>
                <w:rFonts w:hint="eastAsia" w:ascii="仿宋" w:hAnsi="仿宋" w:eastAsia="仿宋"/>
                <w:color w:val="000000"/>
                <w:kern w:val="0"/>
                <w:sz w:val="18"/>
                <w:szCs w:val="18"/>
              </w:rPr>
              <w:t>交易平台可同时在线交易人数</w:t>
            </w:r>
          </w:p>
        </w:tc>
        <w:tc>
          <w:tcPr>
            <w:tcW w:w="13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olor w:val="000000"/>
                <w:kern w:val="0"/>
                <w:sz w:val="18"/>
                <w:szCs w:val="18"/>
              </w:rPr>
            </w:pPr>
            <w:r>
              <w:rPr>
                <w:rFonts w:hint="eastAsia" w:ascii="仿宋" w:hAnsi="仿宋" w:eastAsia="仿宋"/>
                <w:kern w:val="0"/>
                <w:sz w:val="18"/>
                <w:szCs w:val="18"/>
              </w:rPr>
              <w:t>≥</w:t>
            </w:r>
            <w:r>
              <w:rPr>
                <w:rFonts w:hint="eastAsia" w:ascii="仿宋" w:hAnsi="仿宋" w:eastAsia="仿宋"/>
                <w:color w:val="000000"/>
                <w:kern w:val="0"/>
                <w:sz w:val="18"/>
                <w:szCs w:val="18"/>
              </w:rPr>
              <w:t>500人</w:t>
            </w:r>
          </w:p>
        </w:tc>
        <w:tc>
          <w:tcPr>
            <w:tcW w:w="13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olor w:val="000000"/>
                <w:kern w:val="0"/>
                <w:sz w:val="18"/>
                <w:szCs w:val="18"/>
              </w:rPr>
            </w:pPr>
            <w:r>
              <w:rPr>
                <w:rFonts w:hint="eastAsia" w:ascii="仿宋" w:hAnsi="仿宋" w:eastAsia="仿宋"/>
                <w:kern w:val="0"/>
                <w:sz w:val="18"/>
                <w:szCs w:val="18"/>
              </w:rPr>
              <w:t>≥</w:t>
            </w:r>
            <w:r>
              <w:rPr>
                <w:rFonts w:hint="eastAsia" w:ascii="仿宋" w:hAnsi="仿宋" w:eastAsia="仿宋"/>
                <w:color w:val="000000"/>
                <w:kern w:val="0"/>
                <w:sz w:val="18"/>
                <w:szCs w:val="18"/>
              </w:rPr>
              <w:t>500人</w:t>
            </w:r>
          </w:p>
        </w:tc>
        <w:tc>
          <w:tcPr>
            <w:tcW w:w="5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olor w:val="000000"/>
                <w:kern w:val="0"/>
                <w:sz w:val="18"/>
                <w:szCs w:val="18"/>
              </w:rPr>
            </w:pPr>
            <w:r>
              <w:rPr>
                <w:rFonts w:hint="eastAsia" w:ascii="仿宋" w:hAnsi="仿宋" w:eastAsia="仿宋"/>
                <w:color w:val="000000"/>
                <w:kern w:val="0"/>
                <w:sz w:val="18"/>
                <w:szCs w:val="18"/>
              </w:rPr>
              <w:t>5</w:t>
            </w:r>
          </w:p>
        </w:tc>
        <w:tc>
          <w:tcPr>
            <w:tcW w:w="510" w:type="dxa"/>
            <w:vMerge w:val="continue"/>
            <w:tcBorders>
              <w:left w:val="nil"/>
              <w:right w:val="single" w:color="auto" w:sz="4" w:space="0"/>
            </w:tcBorders>
            <w:vAlign w:val="center"/>
          </w:tcPr>
          <w:p>
            <w:pPr>
              <w:widowControl/>
              <w:jc w:val="center"/>
              <w:rPr>
                <w:rFonts w:ascii="仿宋" w:hAnsi="仿宋" w:eastAsia="仿宋"/>
                <w:kern w:val="0"/>
                <w:sz w:val="18"/>
                <w:szCs w:val="18"/>
              </w:rPr>
            </w:pPr>
          </w:p>
        </w:tc>
        <w:tc>
          <w:tcPr>
            <w:tcW w:w="1102" w:type="dxa"/>
            <w:gridSpan w:val="2"/>
            <w:vMerge w:val="continue"/>
            <w:tcBorders>
              <w:left w:val="nil"/>
              <w:right w:val="single" w:color="auto" w:sz="4" w:space="0"/>
            </w:tcBorders>
            <w:vAlign w:val="center"/>
          </w:tcPr>
          <w:p>
            <w:pPr>
              <w:widowControl/>
              <w:jc w:val="left"/>
              <w:rPr>
                <w:rFonts w:ascii="黑体" w:hAnsi="宋体" w:eastAsia="黑体"/>
                <w:kern w:val="0"/>
              </w:rPr>
            </w:pPr>
          </w:p>
        </w:tc>
      </w:tr>
      <w:tr>
        <w:tblPrEx>
          <w:tblCellMar>
            <w:top w:w="0" w:type="dxa"/>
            <w:left w:w="108" w:type="dxa"/>
            <w:bottom w:w="0" w:type="dxa"/>
            <w:right w:w="108" w:type="dxa"/>
          </w:tblCellMar>
        </w:tblPrEx>
        <w:trPr>
          <w:trHeight w:val="615" w:hRule="atLeast"/>
          <w:jc w:val="center"/>
        </w:trPr>
        <w:tc>
          <w:tcPr>
            <w:tcW w:w="639"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kern w:val="0"/>
              </w:rPr>
            </w:pPr>
          </w:p>
        </w:tc>
        <w:tc>
          <w:tcPr>
            <w:tcW w:w="703" w:type="dxa"/>
            <w:vMerge w:val="continue"/>
            <w:tcBorders>
              <w:top w:val="nil"/>
              <w:left w:val="nil"/>
              <w:bottom w:val="nil"/>
              <w:right w:val="single" w:color="auto" w:sz="4" w:space="0"/>
            </w:tcBorders>
            <w:vAlign w:val="center"/>
          </w:tcPr>
          <w:p>
            <w:pPr>
              <w:widowControl/>
              <w:jc w:val="left"/>
              <w:rPr>
                <w:rFonts w:ascii="黑体" w:hAnsi="宋体" w:eastAsia="黑体"/>
                <w:kern w:val="0"/>
              </w:rPr>
            </w:pPr>
          </w:p>
        </w:tc>
        <w:tc>
          <w:tcPr>
            <w:tcW w:w="1565" w:type="dxa"/>
            <w:vMerge w:val="continue"/>
            <w:tcBorders>
              <w:left w:val="nil"/>
              <w:bottom w:val="single" w:color="auto" w:sz="4" w:space="0"/>
              <w:right w:val="single" w:color="auto" w:sz="4" w:space="0"/>
            </w:tcBorders>
            <w:vAlign w:val="center"/>
          </w:tcPr>
          <w:p>
            <w:pPr>
              <w:widowControl/>
              <w:jc w:val="left"/>
              <w:rPr>
                <w:rFonts w:ascii="黑体" w:hAnsi="宋体" w:eastAsia="黑体"/>
                <w:kern w:val="0"/>
              </w:rPr>
            </w:pPr>
          </w:p>
        </w:tc>
        <w:tc>
          <w:tcPr>
            <w:tcW w:w="211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 w:hAnsi="仿宋" w:eastAsia="仿宋"/>
                <w:color w:val="000000"/>
                <w:kern w:val="0"/>
                <w:sz w:val="18"/>
                <w:szCs w:val="18"/>
              </w:rPr>
            </w:pPr>
            <w:r>
              <w:rPr>
                <w:rFonts w:hint="eastAsia" w:ascii="仿宋" w:hAnsi="仿宋" w:eastAsia="仿宋"/>
                <w:color w:val="000000"/>
                <w:kern w:val="0"/>
                <w:sz w:val="18"/>
                <w:szCs w:val="18"/>
              </w:rPr>
              <w:t>3、办结土地拍卖案例</w:t>
            </w:r>
          </w:p>
        </w:tc>
        <w:tc>
          <w:tcPr>
            <w:tcW w:w="13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olor w:val="000000"/>
                <w:kern w:val="0"/>
                <w:sz w:val="18"/>
                <w:szCs w:val="18"/>
              </w:rPr>
            </w:pPr>
            <w:r>
              <w:rPr>
                <w:rFonts w:hint="eastAsia" w:ascii="仿宋" w:hAnsi="仿宋" w:eastAsia="仿宋"/>
                <w:kern w:val="0"/>
                <w:sz w:val="18"/>
                <w:szCs w:val="18"/>
              </w:rPr>
              <w:t>≥</w:t>
            </w:r>
            <w:r>
              <w:rPr>
                <w:rFonts w:hint="eastAsia" w:ascii="仿宋" w:hAnsi="仿宋" w:eastAsia="仿宋"/>
                <w:kern w:val="0"/>
                <w:sz w:val="18"/>
                <w:szCs w:val="18"/>
                <w:lang w:val="en-US" w:eastAsia="zh-CN"/>
              </w:rPr>
              <w:t>5</w:t>
            </w:r>
            <w:r>
              <w:rPr>
                <w:rFonts w:hint="eastAsia" w:ascii="仿宋" w:hAnsi="仿宋" w:eastAsia="仿宋"/>
                <w:color w:val="000000"/>
                <w:kern w:val="0"/>
                <w:sz w:val="18"/>
                <w:szCs w:val="18"/>
              </w:rPr>
              <w:t>宗</w:t>
            </w:r>
          </w:p>
        </w:tc>
        <w:tc>
          <w:tcPr>
            <w:tcW w:w="13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5宗</w:t>
            </w:r>
          </w:p>
        </w:tc>
        <w:tc>
          <w:tcPr>
            <w:tcW w:w="5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 w:hAnsi="仿宋" w:eastAsia="仿宋"/>
                <w:color w:val="000000"/>
                <w:kern w:val="0"/>
                <w:sz w:val="18"/>
                <w:szCs w:val="18"/>
                <w:lang w:val="en-US" w:eastAsia="zh-CN"/>
              </w:rPr>
            </w:pPr>
            <w:r>
              <w:rPr>
                <w:rFonts w:hint="eastAsia" w:ascii="仿宋" w:hAnsi="仿宋" w:eastAsia="仿宋"/>
                <w:color w:val="000000"/>
                <w:kern w:val="0"/>
                <w:sz w:val="18"/>
                <w:szCs w:val="18"/>
                <w:lang w:val="en-US" w:eastAsia="zh-CN"/>
              </w:rPr>
              <w:t>10</w:t>
            </w:r>
          </w:p>
        </w:tc>
        <w:tc>
          <w:tcPr>
            <w:tcW w:w="510" w:type="dxa"/>
            <w:vMerge w:val="continue"/>
            <w:tcBorders>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1102" w:type="dxa"/>
            <w:gridSpan w:val="2"/>
            <w:vMerge w:val="continue"/>
            <w:tcBorders>
              <w:left w:val="nil"/>
              <w:bottom w:val="single" w:color="auto" w:sz="4" w:space="0"/>
              <w:right w:val="single" w:color="auto" w:sz="4" w:space="0"/>
            </w:tcBorders>
            <w:vAlign w:val="center"/>
          </w:tcPr>
          <w:p>
            <w:pPr>
              <w:widowControl/>
              <w:jc w:val="left"/>
              <w:rPr>
                <w:rFonts w:ascii="黑体" w:hAnsi="宋体" w:eastAsia="黑体"/>
                <w:kern w:val="0"/>
              </w:rPr>
            </w:pPr>
          </w:p>
        </w:tc>
      </w:tr>
      <w:tr>
        <w:tblPrEx>
          <w:tblCellMar>
            <w:top w:w="0" w:type="dxa"/>
            <w:left w:w="108" w:type="dxa"/>
            <w:bottom w:w="0" w:type="dxa"/>
            <w:right w:w="108" w:type="dxa"/>
          </w:tblCellMar>
        </w:tblPrEx>
        <w:trPr>
          <w:trHeight w:val="580" w:hRule="atLeast"/>
          <w:jc w:val="center"/>
        </w:trPr>
        <w:tc>
          <w:tcPr>
            <w:tcW w:w="639"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kern w:val="0"/>
              </w:rPr>
            </w:pPr>
          </w:p>
        </w:tc>
        <w:tc>
          <w:tcPr>
            <w:tcW w:w="703" w:type="dxa"/>
            <w:vMerge w:val="continue"/>
            <w:tcBorders>
              <w:top w:val="nil"/>
              <w:left w:val="nil"/>
              <w:bottom w:val="nil"/>
              <w:right w:val="single" w:color="auto" w:sz="4" w:space="0"/>
            </w:tcBorders>
            <w:vAlign w:val="center"/>
          </w:tcPr>
          <w:p>
            <w:pPr>
              <w:widowControl/>
              <w:jc w:val="left"/>
              <w:rPr>
                <w:rFonts w:ascii="黑体" w:hAnsi="宋体" w:eastAsia="黑体"/>
                <w:kern w:val="0"/>
              </w:rPr>
            </w:pPr>
          </w:p>
        </w:tc>
        <w:tc>
          <w:tcPr>
            <w:tcW w:w="1565" w:type="dxa"/>
            <w:vMerge w:val="restart"/>
            <w:tcBorders>
              <w:top w:val="single" w:color="auto" w:sz="4" w:space="0"/>
              <w:left w:val="nil"/>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质量指标</w:t>
            </w:r>
          </w:p>
          <w:p>
            <w:pPr>
              <w:widowControl/>
              <w:ind w:firstLine="210" w:firstLineChars="100"/>
              <w:jc w:val="left"/>
              <w:rPr>
                <w:rFonts w:hint="eastAsia" w:ascii="黑体" w:hAnsi="宋体" w:eastAsia="黑体"/>
                <w:kern w:val="0"/>
                <w:lang w:eastAsia="zh-CN"/>
              </w:rPr>
            </w:pPr>
            <w:r>
              <w:rPr>
                <w:rFonts w:hint="eastAsia" w:ascii="黑体" w:hAnsi="宋体" w:eastAsia="黑体"/>
                <w:kern w:val="0"/>
              </w:rPr>
              <w:t>（15分</w:t>
            </w:r>
            <w:r>
              <w:rPr>
                <w:rFonts w:hint="eastAsia" w:ascii="黑体" w:hAnsi="宋体" w:eastAsia="黑体"/>
                <w:kern w:val="0"/>
                <w:lang w:eastAsia="zh-CN"/>
              </w:rPr>
              <w:t>）</w:t>
            </w:r>
          </w:p>
        </w:tc>
        <w:tc>
          <w:tcPr>
            <w:tcW w:w="211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olor w:val="000000"/>
                <w:kern w:val="0"/>
                <w:sz w:val="18"/>
                <w:szCs w:val="18"/>
              </w:rPr>
            </w:pPr>
            <w:r>
              <w:rPr>
                <w:rFonts w:hint="eastAsia" w:ascii="仿宋" w:hAnsi="仿宋" w:eastAsia="仿宋"/>
                <w:color w:val="000000"/>
                <w:kern w:val="0"/>
                <w:sz w:val="18"/>
                <w:szCs w:val="18"/>
                <w:lang w:val="en-US" w:eastAsia="zh-CN"/>
              </w:rPr>
              <w:t>1、</w:t>
            </w:r>
            <w:r>
              <w:rPr>
                <w:rFonts w:hint="eastAsia" w:ascii="仿宋" w:hAnsi="仿宋" w:eastAsia="仿宋"/>
                <w:color w:val="000000"/>
                <w:kern w:val="0"/>
                <w:sz w:val="18"/>
                <w:szCs w:val="18"/>
              </w:rPr>
              <w:t>宽</w:t>
            </w:r>
            <w:r>
              <w:rPr>
                <w:rFonts w:hint="eastAsia" w:ascii="仿宋" w:hAnsi="仿宋" w:eastAsia="仿宋"/>
                <w:color w:val="000000"/>
                <w:kern w:val="0"/>
                <w:sz w:val="18"/>
                <w:szCs w:val="18"/>
                <w:lang w:val="en-US" w:eastAsia="zh-CN"/>
              </w:rPr>
              <w:t>带速率</w:t>
            </w:r>
            <w:r>
              <w:rPr>
                <w:rFonts w:hint="eastAsia" w:ascii="仿宋" w:hAnsi="仿宋" w:eastAsia="仿宋"/>
                <w:kern w:val="0"/>
                <w:sz w:val="18"/>
                <w:szCs w:val="18"/>
              </w:rPr>
              <w:t>≥</w:t>
            </w:r>
            <w:r>
              <w:rPr>
                <w:rFonts w:hint="eastAsia" w:ascii="仿宋" w:hAnsi="仿宋" w:eastAsia="仿宋"/>
                <w:color w:val="000000"/>
                <w:kern w:val="0"/>
                <w:sz w:val="18"/>
                <w:szCs w:val="18"/>
              </w:rPr>
              <w:t>20M</w:t>
            </w:r>
          </w:p>
        </w:tc>
        <w:tc>
          <w:tcPr>
            <w:tcW w:w="13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olor w:val="000000"/>
                <w:kern w:val="0"/>
                <w:sz w:val="18"/>
                <w:szCs w:val="18"/>
              </w:rPr>
            </w:pPr>
            <w:r>
              <w:rPr>
                <w:rFonts w:hint="eastAsia" w:ascii="仿宋" w:hAnsi="仿宋" w:eastAsia="仿宋"/>
                <w:kern w:val="0"/>
                <w:sz w:val="18"/>
                <w:szCs w:val="18"/>
              </w:rPr>
              <w:t>≥</w:t>
            </w:r>
            <w:r>
              <w:rPr>
                <w:rFonts w:hint="eastAsia" w:ascii="仿宋" w:hAnsi="仿宋" w:eastAsia="仿宋"/>
                <w:color w:val="000000"/>
                <w:kern w:val="0"/>
                <w:sz w:val="18"/>
                <w:szCs w:val="18"/>
              </w:rPr>
              <w:t>20M</w:t>
            </w:r>
          </w:p>
        </w:tc>
        <w:tc>
          <w:tcPr>
            <w:tcW w:w="13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olor w:val="000000"/>
                <w:kern w:val="0"/>
                <w:sz w:val="18"/>
                <w:szCs w:val="18"/>
              </w:rPr>
            </w:pPr>
            <w:r>
              <w:rPr>
                <w:rFonts w:hint="eastAsia" w:ascii="仿宋" w:hAnsi="仿宋" w:eastAsia="仿宋"/>
                <w:kern w:val="0"/>
                <w:sz w:val="18"/>
                <w:szCs w:val="18"/>
              </w:rPr>
              <w:t>≥</w:t>
            </w:r>
            <w:r>
              <w:rPr>
                <w:rFonts w:hint="eastAsia" w:ascii="仿宋" w:hAnsi="仿宋" w:eastAsia="仿宋"/>
                <w:color w:val="000000"/>
                <w:kern w:val="0"/>
                <w:sz w:val="18"/>
                <w:szCs w:val="18"/>
              </w:rPr>
              <w:t>20M</w:t>
            </w:r>
          </w:p>
        </w:tc>
        <w:tc>
          <w:tcPr>
            <w:tcW w:w="5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olor w:val="000000"/>
                <w:kern w:val="0"/>
                <w:sz w:val="18"/>
                <w:szCs w:val="18"/>
              </w:rPr>
            </w:pPr>
            <w:r>
              <w:rPr>
                <w:rFonts w:hint="eastAsia" w:ascii="仿宋" w:hAnsi="仿宋" w:eastAsia="仿宋"/>
                <w:color w:val="000000"/>
                <w:kern w:val="0"/>
                <w:sz w:val="18"/>
                <w:szCs w:val="18"/>
                <w:lang w:val="en-US" w:eastAsia="zh-CN"/>
              </w:rPr>
              <w:t>7.</w:t>
            </w:r>
            <w:r>
              <w:rPr>
                <w:rFonts w:hint="eastAsia" w:ascii="仿宋" w:hAnsi="仿宋" w:eastAsia="仿宋"/>
                <w:color w:val="000000"/>
                <w:kern w:val="0"/>
                <w:sz w:val="18"/>
                <w:szCs w:val="18"/>
              </w:rPr>
              <w:t>5</w:t>
            </w:r>
          </w:p>
        </w:tc>
        <w:tc>
          <w:tcPr>
            <w:tcW w:w="510" w:type="dxa"/>
            <w:vMerge w:val="restart"/>
            <w:tcBorders>
              <w:top w:val="single" w:color="auto" w:sz="4" w:space="0"/>
              <w:left w:val="nil"/>
              <w:right w:val="single" w:color="auto" w:sz="4" w:space="0"/>
            </w:tcBorders>
            <w:vAlign w:val="center"/>
          </w:tcPr>
          <w:p>
            <w:pPr>
              <w:widowControl/>
              <w:jc w:val="center"/>
              <w:rPr>
                <w:rFonts w:ascii="仿宋" w:hAnsi="仿宋" w:eastAsia="仿宋"/>
                <w:kern w:val="0"/>
                <w:sz w:val="18"/>
                <w:szCs w:val="18"/>
              </w:rPr>
            </w:pPr>
          </w:p>
        </w:tc>
        <w:tc>
          <w:tcPr>
            <w:tcW w:w="1102" w:type="dxa"/>
            <w:gridSpan w:val="2"/>
            <w:vMerge w:val="restart"/>
            <w:tcBorders>
              <w:top w:val="single" w:color="auto" w:sz="4" w:space="0"/>
              <w:left w:val="nil"/>
              <w:right w:val="single" w:color="auto" w:sz="4" w:space="0"/>
            </w:tcBorders>
            <w:vAlign w:val="center"/>
          </w:tcPr>
          <w:p>
            <w:pPr>
              <w:widowControl/>
              <w:jc w:val="left"/>
              <w:rPr>
                <w:rFonts w:ascii="黑体" w:hAnsi="宋体" w:eastAsia="黑体"/>
                <w:kern w:val="0"/>
              </w:rPr>
            </w:pPr>
          </w:p>
        </w:tc>
      </w:tr>
      <w:tr>
        <w:tblPrEx>
          <w:tblCellMar>
            <w:top w:w="0" w:type="dxa"/>
            <w:left w:w="108" w:type="dxa"/>
            <w:bottom w:w="0" w:type="dxa"/>
            <w:right w:w="108" w:type="dxa"/>
          </w:tblCellMar>
        </w:tblPrEx>
        <w:trPr>
          <w:trHeight w:val="666" w:hRule="atLeast"/>
          <w:jc w:val="center"/>
        </w:trPr>
        <w:tc>
          <w:tcPr>
            <w:tcW w:w="639"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kern w:val="0"/>
              </w:rPr>
            </w:pPr>
          </w:p>
        </w:tc>
        <w:tc>
          <w:tcPr>
            <w:tcW w:w="703" w:type="dxa"/>
            <w:vMerge w:val="continue"/>
            <w:tcBorders>
              <w:top w:val="nil"/>
              <w:left w:val="nil"/>
              <w:bottom w:val="nil"/>
              <w:right w:val="single" w:color="auto" w:sz="4" w:space="0"/>
            </w:tcBorders>
            <w:vAlign w:val="center"/>
          </w:tcPr>
          <w:p>
            <w:pPr>
              <w:widowControl/>
              <w:jc w:val="left"/>
              <w:rPr>
                <w:rFonts w:ascii="黑体" w:hAnsi="宋体" w:eastAsia="黑体"/>
                <w:kern w:val="0"/>
              </w:rPr>
            </w:pPr>
          </w:p>
        </w:tc>
        <w:tc>
          <w:tcPr>
            <w:tcW w:w="1565"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宋体" w:eastAsia="黑体"/>
                <w:kern w:val="0"/>
              </w:rPr>
            </w:pPr>
          </w:p>
        </w:tc>
        <w:tc>
          <w:tcPr>
            <w:tcW w:w="211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olor w:val="000000"/>
                <w:kern w:val="0"/>
                <w:sz w:val="18"/>
                <w:szCs w:val="18"/>
              </w:rPr>
            </w:pPr>
            <w:r>
              <w:rPr>
                <w:rFonts w:hint="eastAsia" w:ascii="仿宋" w:hAnsi="仿宋" w:eastAsia="仿宋"/>
                <w:sz w:val="18"/>
                <w:szCs w:val="18"/>
                <w:lang w:val="en-US" w:eastAsia="zh-CN"/>
              </w:rPr>
              <w:t>2、</w:t>
            </w:r>
            <w:r>
              <w:rPr>
                <w:rFonts w:hint="eastAsia" w:ascii="仿宋" w:hAnsi="仿宋" w:eastAsia="仿宋"/>
                <w:sz w:val="18"/>
                <w:szCs w:val="18"/>
              </w:rPr>
              <w:t>拍卖人员在发出指令后系统反馈时间</w:t>
            </w:r>
          </w:p>
        </w:tc>
        <w:tc>
          <w:tcPr>
            <w:tcW w:w="13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olor w:val="000000"/>
                <w:kern w:val="0"/>
                <w:sz w:val="18"/>
                <w:szCs w:val="18"/>
              </w:rPr>
            </w:pPr>
            <w:r>
              <w:rPr>
                <w:rFonts w:hint="eastAsia" w:ascii="仿宋" w:hAnsi="仿宋" w:eastAsia="仿宋"/>
                <w:color w:val="000000"/>
                <w:kern w:val="0"/>
                <w:sz w:val="18"/>
                <w:szCs w:val="18"/>
              </w:rPr>
              <w:t>≤2秒</w:t>
            </w:r>
          </w:p>
        </w:tc>
        <w:tc>
          <w:tcPr>
            <w:tcW w:w="13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olor w:val="000000"/>
                <w:kern w:val="0"/>
                <w:sz w:val="18"/>
                <w:szCs w:val="18"/>
              </w:rPr>
            </w:pPr>
            <w:r>
              <w:rPr>
                <w:rFonts w:hint="eastAsia" w:ascii="仿宋" w:hAnsi="仿宋" w:eastAsia="仿宋"/>
                <w:color w:val="000000"/>
                <w:kern w:val="0"/>
                <w:sz w:val="18"/>
                <w:szCs w:val="18"/>
              </w:rPr>
              <w:t>≤2秒</w:t>
            </w:r>
          </w:p>
        </w:tc>
        <w:tc>
          <w:tcPr>
            <w:tcW w:w="5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olor w:val="000000"/>
                <w:kern w:val="0"/>
                <w:sz w:val="18"/>
                <w:szCs w:val="18"/>
              </w:rPr>
            </w:pPr>
            <w:r>
              <w:rPr>
                <w:rFonts w:hint="eastAsia" w:ascii="仿宋" w:hAnsi="仿宋" w:eastAsia="仿宋"/>
                <w:color w:val="000000"/>
                <w:kern w:val="0"/>
                <w:sz w:val="18"/>
                <w:szCs w:val="18"/>
                <w:lang w:val="en-US" w:eastAsia="zh-CN"/>
              </w:rPr>
              <w:t>7.</w:t>
            </w:r>
            <w:r>
              <w:rPr>
                <w:rFonts w:hint="eastAsia" w:ascii="仿宋" w:hAnsi="仿宋" w:eastAsia="仿宋"/>
                <w:color w:val="000000"/>
                <w:kern w:val="0"/>
                <w:sz w:val="18"/>
                <w:szCs w:val="18"/>
              </w:rPr>
              <w:t>5</w:t>
            </w:r>
          </w:p>
        </w:tc>
        <w:tc>
          <w:tcPr>
            <w:tcW w:w="510" w:type="dxa"/>
            <w:vMerge w:val="continue"/>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1102"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黑体" w:hAnsi="宋体" w:eastAsia="黑体"/>
                <w:kern w:val="0"/>
              </w:rPr>
            </w:pPr>
          </w:p>
        </w:tc>
      </w:tr>
      <w:tr>
        <w:tblPrEx>
          <w:tblCellMar>
            <w:top w:w="0" w:type="dxa"/>
            <w:left w:w="108" w:type="dxa"/>
            <w:bottom w:w="0" w:type="dxa"/>
            <w:right w:w="108" w:type="dxa"/>
          </w:tblCellMar>
        </w:tblPrEx>
        <w:trPr>
          <w:trHeight w:val="690" w:hRule="atLeast"/>
          <w:jc w:val="center"/>
        </w:trPr>
        <w:tc>
          <w:tcPr>
            <w:tcW w:w="639"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kern w:val="0"/>
              </w:rPr>
            </w:pPr>
          </w:p>
        </w:tc>
        <w:tc>
          <w:tcPr>
            <w:tcW w:w="703" w:type="dxa"/>
            <w:vMerge w:val="continue"/>
            <w:tcBorders>
              <w:top w:val="nil"/>
              <w:left w:val="nil"/>
              <w:bottom w:val="nil"/>
              <w:right w:val="single" w:color="auto" w:sz="4" w:space="0"/>
            </w:tcBorders>
            <w:vAlign w:val="center"/>
          </w:tcPr>
          <w:p>
            <w:pPr>
              <w:widowControl/>
              <w:jc w:val="left"/>
              <w:rPr>
                <w:rFonts w:ascii="黑体" w:hAnsi="宋体" w:eastAsia="黑体"/>
                <w:kern w:val="0"/>
              </w:rPr>
            </w:pPr>
          </w:p>
        </w:tc>
        <w:tc>
          <w:tcPr>
            <w:tcW w:w="15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时效指标</w:t>
            </w:r>
          </w:p>
          <w:p>
            <w:pPr>
              <w:ind w:firstLine="420" w:firstLineChars="200"/>
              <w:jc w:val="left"/>
              <w:rPr>
                <w:rFonts w:ascii="黑体" w:hAnsi="宋体" w:eastAsia="黑体"/>
                <w:kern w:val="0"/>
              </w:rPr>
            </w:pPr>
            <w:r>
              <w:rPr>
                <w:rFonts w:hint="eastAsia" w:ascii="黑体" w:hAnsi="宋体" w:eastAsia="黑体"/>
                <w:kern w:val="0"/>
              </w:rPr>
              <w:t>（5分）</w:t>
            </w:r>
          </w:p>
        </w:tc>
        <w:tc>
          <w:tcPr>
            <w:tcW w:w="211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olor w:val="000000"/>
                <w:kern w:val="0"/>
                <w:sz w:val="18"/>
                <w:szCs w:val="18"/>
              </w:rPr>
            </w:pPr>
            <w:r>
              <w:rPr>
                <w:rFonts w:hint="eastAsia" w:ascii="仿宋" w:hAnsi="仿宋" w:eastAsia="仿宋"/>
                <w:color w:val="000000"/>
                <w:kern w:val="0"/>
                <w:sz w:val="18"/>
                <w:szCs w:val="18"/>
              </w:rPr>
              <w:t>项目建设完成并验收合格，已投入试运行阶段</w:t>
            </w:r>
          </w:p>
        </w:tc>
        <w:tc>
          <w:tcPr>
            <w:tcW w:w="13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 w:hAnsi="仿宋" w:eastAsia="仿宋"/>
                <w:color w:val="000000"/>
                <w:kern w:val="0"/>
                <w:sz w:val="18"/>
                <w:szCs w:val="18"/>
                <w:lang w:val="en-US" w:eastAsia="zh-CN"/>
              </w:rPr>
            </w:pPr>
            <w:r>
              <w:rPr>
                <w:rFonts w:hint="eastAsia" w:ascii="仿宋" w:hAnsi="仿宋" w:eastAsia="仿宋"/>
                <w:color w:val="000000"/>
                <w:kern w:val="0"/>
                <w:sz w:val="18"/>
                <w:szCs w:val="18"/>
                <w:lang w:val="en-US" w:eastAsia="zh-CN"/>
              </w:rPr>
              <w:t>2019.10</w:t>
            </w:r>
          </w:p>
        </w:tc>
        <w:tc>
          <w:tcPr>
            <w:tcW w:w="13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 w:hAnsi="仿宋" w:eastAsia="仿宋"/>
                <w:color w:val="000000"/>
                <w:kern w:val="0"/>
                <w:sz w:val="18"/>
                <w:szCs w:val="18"/>
                <w:lang w:val="en-US" w:eastAsia="zh-CN"/>
              </w:rPr>
            </w:pPr>
            <w:r>
              <w:rPr>
                <w:rFonts w:hint="eastAsia" w:ascii="仿宋" w:hAnsi="仿宋" w:eastAsia="仿宋"/>
                <w:color w:val="000000"/>
                <w:kern w:val="0"/>
                <w:sz w:val="18"/>
                <w:szCs w:val="18"/>
                <w:lang w:val="en-US" w:eastAsia="zh-CN"/>
              </w:rPr>
              <w:t>2019.06</w:t>
            </w:r>
          </w:p>
        </w:tc>
        <w:tc>
          <w:tcPr>
            <w:tcW w:w="5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olor w:val="000000"/>
                <w:kern w:val="0"/>
                <w:sz w:val="18"/>
                <w:szCs w:val="18"/>
              </w:rPr>
            </w:pPr>
            <w:r>
              <w:rPr>
                <w:rFonts w:hint="eastAsia" w:ascii="仿宋" w:hAnsi="仿宋" w:eastAsia="仿宋"/>
                <w:color w:val="000000"/>
                <w:kern w:val="0"/>
                <w:sz w:val="18"/>
                <w:szCs w:val="18"/>
              </w:rPr>
              <w:t>5</w:t>
            </w:r>
          </w:p>
        </w:tc>
        <w:tc>
          <w:tcPr>
            <w:tcW w:w="510" w:type="dxa"/>
            <w:tcBorders>
              <w:top w:val="single" w:color="auto" w:sz="4" w:space="0"/>
              <w:left w:val="nil"/>
              <w:bottom w:val="single" w:color="auto" w:sz="4" w:space="0"/>
              <w:right w:val="single" w:color="auto" w:sz="4" w:space="0"/>
            </w:tcBorders>
            <w:vAlign w:val="center"/>
          </w:tcPr>
          <w:p>
            <w:pPr>
              <w:widowControl/>
              <w:jc w:val="center"/>
              <w:rPr>
                <w:rFonts w:hint="default" w:ascii="仿宋" w:hAnsi="仿宋" w:eastAsia="仿宋"/>
                <w:kern w:val="0"/>
                <w:sz w:val="18"/>
                <w:szCs w:val="18"/>
                <w:lang w:val="en-US" w:eastAsia="zh-CN"/>
              </w:rPr>
            </w:pPr>
            <w:r>
              <w:rPr>
                <w:rFonts w:hint="eastAsia" w:ascii="仿宋" w:hAnsi="仿宋" w:eastAsia="仿宋"/>
                <w:kern w:val="0"/>
                <w:sz w:val="18"/>
                <w:szCs w:val="18"/>
                <w:lang w:val="en-US" w:eastAsia="zh-CN"/>
              </w:rPr>
              <w:t>5</w:t>
            </w:r>
          </w:p>
        </w:tc>
        <w:tc>
          <w:tcPr>
            <w:tcW w:w="1102" w:type="dxa"/>
            <w:gridSpan w:val="2"/>
            <w:tcBorders>
              <w:top w:val="single" w:color="auto" w:sz="4" w:space="0"/>
              <w:left w:val="nil"/>
              <w:bottom w:val="single" w:color="auto" w:sz="4" w:space="0"/>
              <w:right w:val="single" w:color="auto" w:sz="4" w:space="0"/>
            </w:tcBorders>
            <w:vAlign w:val="center"/>
          </w:tcPr>
          <w:p>
            <w:pPr>
              <w:widowControl/>
              <w:jc w:val="left"/>
              <w:rPr>
                <w:rFonts w:ascii="黑体" w:hAnsi="宋体" w:eastAsia="黑体"/>
                <w:kern w:val="0"/>
              </w:rPr>
            </w:pPr>
          </w:p>
        </w:tc>
      </w:tr>
      <w:tr>
        <w:tblPrEx>
          <w:tblCellMar>
            <w:top w:w="0" w:type="dxa"/>
            <w:left w:w="108" w:type="dxa"/>
            <w:bottom w:w="0" w:type="dxa"/>
            <w:right w:w="108" w:type="dxa"/>
          </w:tblCellMar>
        </w:tblPrEx>
        <w:trPr>
          <w:trHeight w:val="508" w:hRule="atLeast"/>
          <w:jc w:val="center"/>
        </w:trPr>
        <w:tc>
          <w:tcPr>
            <w:tcW w:w="639"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kern w:val="0"/>
              </w:rPr>
            </w:pPr>
          </w:p>
        </w:tc>
        <w:tc>
          <w:tcPr>
            <w:tcW w:w="703" w:type="dxa"/>
            <w:vMerge w:val="continue"/>
            <w:tcBorders>
              <w:top w:val="nil"/>
              <w:left w:val="nil"/>
              <w:bottom w:val="nil"/>
              <w:right w:val="single" w:color="auto" w:sz="4" w:space="0"/>
            </w:tcBorders>
            <w:vAlign w:val="center"/>
          </w:tcPr>
          <w:p>
            <w:pPr>
              <w:widowControl/>
              <w:jc w:val="left"/>
              <w:rPr>
                <w:rFonts w:ascii="黑体" w:hAnsi="宋体" w:eastAsia="黑体"/>
                <w:kern w:val="0"/>
              </w:rPr>
            </w:pPr>
          </w:p>
        </w:tc>
        <w:tc>
          <w:tcPr>
            <w:tcW w:w="1565" w:type="dxa"/>
            <w:vMerge w:val="restart"/>
            <w:tcBorders>
              <w:top w:val="single" w:color="auto" w:sz="4" w:space="0"/>
              <w:left w:val="nil"/>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成本指标</w:t>
            </w:r>
          </w:p>
          <w:p>
            <w:pPr>
              <w:widowControl/>
              <w:spacing w:line="240" w:lineRule="exact"/>
              <w:jc w:val="center"/>
              <w:rPr>
                <w:rFonts w:ascii="黑体" w:hAnsi="宋体" w:eastAsia="黑体"/>
                <w:kern w:val="0"/>
              </w:rPr>
            </w:pPr>
            <w:r>
              <w:rPr>
                <w:rFonts w:hint="eastAsia" w:ascii="黑体" w:hAnsi="宋体" w:eastAsia="黑体"/>
                <w:kern w:val="0"/>
              </w:rPr>
              <w:t>（</w:t>
            </w:r>
            <w:r>
              <w:rPr>
                <w:rFonts w:hint="eastAsia" w:ascii="黑体" w:hAnsi="宋体" w:eastAsia="黑体"/>
                <w:kern w:val="0"/>
                <w:lang w:val="en-US" w:eastAsia="zh-CN"/>
              </w:rPr>
              <w:t>1</w:t>
            </w:r>
            <w:r>
              <w:rPr>
                <w:rFonts w:hint="eastAsia" w:ascii="黑体" w:hAnsi="宋体" w:eastAsia="黑体"/>
                <w:kern w:val="0"/>
              </w:rPr>
              <w:t>0分）</w:t>
            </w:r>
          </w:p>
        </w:tc>
        <w:tc>
          <w:tcPr>
            <w:tcW w:w="211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olor w:val="000000"/>
                <w:kern w:val="0"/>
                <w:sz w:val="18"/>
                <w:szCs w:val="18"/>
              </w:rPr>
            </w:pPr>
            <w:r>
              <w:rPr>
                <w:rFonts w:hint="eastAsia" w:ascii="仿宋" w:hAnsi="仿宋" w:eastAsia="仿宋"/>
                <w:color w:val="000000"/>
                <w:kern w:val="0"/>
                <w:sz w:val="18"/>
                <w:szCs w:val="18"/>
              </w:rPr>
              <w:t>1、硬件采购尾款</w:t>
            </w:r>
          </w:p>
        </w:tc>
        <w:tc>
          <w:tcPr>
            <w:tcW w:w="13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18"/>
                <w:szCs w:val="18"/>
              </w:rPr>
            </w:pPr>
            <w:r>
              <w:rPr>
                <w:rFonts w:hint="eastAsia" w:ascii="仿宋" w:hAnsi="仿宋" w:eastAsia="仿宋"/>
                <w:sz w:val="18"/>
                <w:szCs w:val="18"/>
              </w:rPr>
              <w:t>137.985万元</w:t>
            </w:r>
          </w:p>
        </w:tc>
        <w:tc>
          <w:tcPr>
            <w:tcW w:w="13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18"/>
                <w:szCs w:val="18"/>
              </w:rPr>
            </w:pPr>
            <w:r>
              <w:rPr>
                <w:rFonts w:hint="eastAsia" w:ascii="仿宋" w:hAnsi="仿宋" w:eastAsia="仿宋"/>
                <w:sz w:val="18"/>
                <w:szCs w:val="18"/>
                <w:lang w:val="en-US" w:eastAsia="zh-CN"/>
              </w:rPr>
              <w:t>137.985</w:t>
            </w:r>
            <w:r>
              <w:rPr>
                <w:rFonts w:hint="eastAsia" w:ascii="仿宋" w:hAnsi="仿宋" w:eastAsia="仿宋"/>
                <w:sz w:val="18"/>
                <w:szCs w:val="18"/>
              </w:rPr>
              <w:t>万元</w:t>
            </w:r>
          </w:p>
        </w:tc>
        <w:tc>
          <w:tcPr>
            <w:tcW w:w="5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kern w:val="0"/>
                <w:sz w:val="18"/>
                <w:szCs w:val="18"/>
                <w:lang w:val="en-US" w:eastAsia="zh-CN"/>
              </w:rPr>
            </w:pPr>
            <w:r>
              <w:rPr>
                <w:rFonts w:hint="eastAsia" w:ascii="仿宋" w:hAnsi="仿宋" w:eastAsia="仿宋"/>
                <w:kern w:val="0"/>
                <w:sz w:val="18"/>
                <w:szCs w:val="18"/>
                <w:lang w:val="en-US" w:eastAsia="zh-CN"/>
              </w:rPr>
              <w:t>4</w:t>
            </w:r>
          </w:p>
        </w:tc>
        <w:tc>
          <w:tcPr>
            <w:tcW w:w="510" w:type="dxa"/>
            <w:vMerge w:val="restart"/>
            <w:tcBorders>
              <w:top w:val="single" w:color="auto" w:sz="4" w:space="0"/>
              <w:left w:val="nil"/>
              <w:right w:val="single" w:color="auto" w:sz="4" w:space="0"/>
            </w:tcBorders>
            <w:vAlign w:val="center"/>
          </w:tcPr>
          <w:p>
            <w:pPr>
              <w:widowControl/>
              <w:spacing w:line="240" w:lineRule="exact"/>
              <w:jc w:val="center"/>
              <w:rPr>
                <w:rFonts w:ascii="仿宋" w:hAnsi="仿宋" w:eastAsia="仿宋"/>
                <w:kern w:val="0"/>
                <w:sz w:val="18"/>
                <w:szCs w:val="18"/>
              </w:rPr>
            </w:pPr>
            <w:r>
              <w:rPr>
                <w:rFonts w:hint="eastAsia" w:ascii="仿宋" w:hAnsi="仿宋" w:eastAsia="仿宋"/>
                <w:kern w:val="0"/>
                <w:sz w:val="18"/>
                <w:szCs w:val="18"/>
                <w:lang w:val="en-US" w:eastAsia="zh-CN"/>
              </w:rPr>
              <w:t>1</w:t>
            </w:r>
            <w:r>
              <w:rPr>
                <w:rFonts w:hint="eastAsia" w:ascii="仿宋" w:hAnsi="仿宋" w:eastAsia="仿宋"/>
                <w:kern w:val="0"/>
                <w:sz w:val="18"/>
                <w:szCs w:val="18"/>
              </w:rPr>
              <w:t>0</w:t>
            </w:r>
          </w:p>
        </w:tc>
        <w:tc>
          <w:tcPr>
            <w:tcW w:w="1102" w:type="dxa"/>
            <w:gridSpan w:val="2"/>
            <w:vMerge w:val="restart"/>
            <w:tcBorders>
              <w:top w:val="single" w:color="auto" w:sz="4" w:space="0"/>
              <w:left w:val="nil"/>
              <w:right w:val="single" w:color="auto" w:sz="4" w:space="0"/>
            </w:tcBorders>
            <w:vAlign w:val="center"/>
          </w:tcPr>
          <w:p>
            <w:pPr>
              <w:widowControl/>
              <w:spacing w:line="240" w:lineRule="exact"/>
              <w:jc w:val="center"/>
              <w:rPr>
                <w:rFonts w:ascii="黑体" w:hAnsi="宋体" w:eastAsia="黑体"/>
                <w:kern w:val="0"/>
              </w:rPr>
            </w:pPr>
          </w:p>
        </w:tc>
      </w:tr>
      <w:tr>
        <w:tblPrEx>
          <w:tblCellMar>
            <w:top w:w="0" w:type="dxa"/>
            <w:left w:w="108" w:type="dxa"/>
            <w:bottom w:w="0" w:type="dxa"/>
            <w:right w:w="108" w:type="dxa"/>
          </w:tblCellMar>
        </w:tblPrEx>
        <w:trPr>
          <w:trHeight w:val="90" w:hRule="atLeast"/>
          <w:jc w:val="center"/>
        </w:trPr>
        <w:tc>
          <w:tcPr>
            <w:tcW w:w="639"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kern w:val="0"/>
              </w:rPr>
            </w:pPr>
          </w:p>
        </w:tc>
        <w:tc>
          <w:tcPr>
            <w:tcW w:w="703" w:type="dxa"/>
            <w:vMerge w:val="continue"/>
            <w:tcBorders>
              <w:top w:val="nil"/>
              <w:left w:val="nil"/>
              <w:bottom w:val="nil"/>
              <w:right w:val="single" w:color="auto" w:sz="4" w:space="0"/>
            </w:tcBorders>
            <w:vAlign w:val="center"/>
          </w:tcPr>
          <w:p>
            <w:pPr>
              <w:widowControl/>
              <w:jc w:val="left"/>
              <w:rPr>
                <w:rFonts w:ascii="黑体" w:hAnsi="宋体" w:eastAsia="黑体"/>
                <w:kern w:val="0"/>
              </w:rPr>
            </w:pPr>
          </w:p>
        </w:tc>
        <w:tc>
          <w:tcPr>
            <w:tcW w:w="1565" w:type="dxa"/>
            <w:vMerge w:val="continue"/>
            <w:tcBorders>
              <w:left w:val="nil"/>
              <w:right w:val="single" w:color="auto" w:sz="4" w:space="0"/>
            </w:tcBorders>
            <w:vAlign w:val="center"/>
          </w:tcPr>
          <w:p>
            <w:pPr>
              <w:widowControl/>
              <w:jc w:val="left"/>
              <w:rPr>
                <w:rFonts w:ascii="黑体" w:hAnsi="宋体" w:eastAsia="黑体"/>
                <w:kern w:val="0"/>
              </w:rPr>
            </w:pPr>
          </w:p>
        </w:tc>
        <w:tc>
          <w:tcPr>
            <w:tcW w:w="211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 w:hAnsi="仿宋" w:eastAsia="仿宋"/>
                <w:color w:val="000000"/>
                <w:kern w:val="0"/>
                <w:sz w:val="18"/>
                <w:szCs w:val="18"/>
              </w:rPr>
            </w:pPr>
            <w:r>
              <w:rPr>
                <w:rFonts w:hint="eastAsia" w:ascii="仿宋" w:hAnsi="仿宋" w:eastAsia="仿宋"/>
                <w:color w:val="000000"/>
                <w:kern w:val="0"/>
                <w:sz w:val="18"/>
                <w:szCs w:val="18"/>
              </w:rPr>
              <w:t>2、系统平台已验收合格并试运行1年</w:t>
            </w:r>
          </w:p>
        </w:tc>
        <w:tc>
          <w:tcPr>
            <w:tcW w:w="13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olor w:val="000000"/>
                <w:kern w:val="0"/>
                <w:sz w:val="18"/>
                <w:szCs w:val="18"/>
              </w:rPr>
            </w:pPr>
            <w:r>
              <w:rPr>
                <w:rFonts w:hint="eastAsia" w:ascii="仿宋" w:hAnsi="仿宋" w:eastAsia="仿宋"/>
                <w:color w:val="000000"/>
                <w:kern w:val="0"/>
                <w:sz w:val="18"/>
                <w:szCs w:val="18"/>
              </w:rPr>
              <w:t>73.49万元</w:t>
            </w:r>
          </w:p>
        </w:tc>
        <w:tc>
          <w:tcPr>
            <w:tcW w:w="13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olor w:val="000000"/>
                <w:kern w:val="0"/>
                <w:sz w:val="18"/>
                <w:szCs w:val="18"/>
              </w:rPr>
            </w:pPr>
            <w:r>
              <w:rPr>
                <w:rFonts w:hint="eastAsia" w:ascii="仿宋" w:hAnsi="仿宋" w:eastAsia="仿宋"/>
                <w:color w:val="000000"/>
                <w:kern w:val="0"/>
                <w:sz w:val="18"/>
                <w:szCs w:val="18"/>
              </w:rPr>
              <w:t>73.49万元</w:t>
            </w:r>
          </w:p>
        </w:tc>
        <w:tc>
          <w:tcPr>
            <w:tcW w:w="5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olor w:val="000000"/>
                <w:kern w:val="0"/>
                <w:sz w:val="18"/>
                <w:szCs w:val="18"/>
                <w:lang w:val="en-US" w:eastAsia="zh-CN"/>
              </w:rPr>
            </w:pPr>
            <w:r>
              <w:rPr>
                <w:rFonts w:hint="eastAsia" w:ascii="仿宋" w:hAnsi="仿宋" w:eastAsia="仿宋"/>
                <w:color w:val="000000"/>
                <w:kern w:val="0"/>
                <w:sz w:val="18"/>
                <w:szCs w:val="18"/>
                <w:lang w:val="en-US" w:eastAsia="zh-CN"/>
              </w:rPr>
              <w:t>3</w:t>
            </w:r>
          </w:p>
        </w:tc>
        <w:tc>
          <w:tcPr>
            <w:tcW w:w="510" w:type="dxa"/>
            <w:vMerge w:val="continue"/>
            <w:tcBorders>
              <w:left w:val="nil"/>
              <w:right w:val="single" w:color="auto" w:sz="4" w:space="0"/>
            </w:tcBorders>
            <w:vAlign w:val="center"/>
          </w:tcPr>
          <w:p>
            <w:pPr>
              <w:jc w:val="center"/>
              <w:rPr>
                <w:rFonts w:ascii="仿宋" w:hAnsi="仿宋" w:eastAsia="仿宋"/>
                <w:kern w:val="0"/>
                <w:sz w:val="18"/>
                <w:szCs w:val="18"/>
              </w:rPr>
            </w:pPr>
          </w:p>
        </w:tc>
        <w:tc>
          <w:tcPr>
            <w:tcW w:w="1102" w:type="dxa"/>
            <w:gridSpan w:val="2"/>
            <w:vMerge w:val="continue"/>
            <w:tcBorders>
              <w:left w:val="nil"/>
              <w:right w:val="single" w:color="auto" w:sz="4" w:space="0"/>
            </w:tcBorders>
            <w:vAlign w:val="center"/>
          </w:tcPr>
          <w:p>
            <w:pPr>
              <w:widowControl/>
              <w:jc w:val="left"/>
              <w:rPr>
                <w:rFonts w:ascii="黑体" w:hAnsi="宋体" w:eastAsia="黑体"/>
                <w:kern w:val="0"/>
              </w:rPr>
            </w:pPr>
          </w:p>
        </w:tc>
      </w:tr>
      <w:tr>
        <w:tblPrEx>
          <w:tblCellMar>
            <w:top w:w="0" w:type="dxa"/>
            <w:left w:w="108" w:type="dxa"/>
            <w:bottom w:w="0" w:type="dxa"/>
            <w:right w:w="108" w:type="dxa"/>
          </w:tblCellMar>
        </w:tblPrEx>
        <w:trPr>
          <w:trHeight w:val="90" w:hRule="atLeast"/>
          <w:jc w:val="center"/>
        </w:trPr>
        <w:tc>
          <w:tcPr>
            <w:tcW w:w="639"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kern w:val="0"/>
              </w:rPr>
            </w:pPr>
          </w:p>
        </w:tc>
        <w:tc>
          <w:tcPr>
            <w:tcW w:w="703" w:type="dxa"/>
            <w:tcBorders>
              <w:top w:val="nil"/>
              <w:left w:val="nil"/>
              <w:bottom w:val="nil"/>
              <w:right w:val="single" w:color="auto" w:sz="4" w:space="0"/>
            </w:tcBorders>
            <w:vAlign w:val="center"/>
          </w:tcPr>
          <w:p>
            <w:pPr>
              <w:widowControl/>
              <w:jc w:val="left"/>
              <w:rPr>
                <w:rFonts w:ascii="黑体" w:hAnsi="宋体" w:eastAsia="黑体"/>
                <w:kern w:val="0"/>
              </w:rPr>
            </w:pPr>
          </w:p>
        </w:tc>
        <w:tc>
          <w:tcPr>
            <w:tcW w:w="1565" w:type="dxa"/>
            <w:vMerge w:val="continue"/>
            <w:tcBorders>
              <w:left w:val="nil"/>
              <w:bottom w:val="single" w:color="auto" w:sz="4" w:space="0"/>
              <w:right w:val="single" w:color="auto" w:sz="4" w:space="0"/>
            </w:tcBorders>
            <w:vAlign w:val="center"/>
          </w:tcPr>
          <w:p>
            <w:pPr>
              <w:widowControl/>
              <w:jc w:val="left"/>
              <w:rPr>
                <w:rFonts w:ascii="黑体" w:hAnsi="宋体" w:eastAsia="黑体"/>
                <w:kern w:val="0"/>
              </w:rPr>
            </w:pPr>
          </w:p>
        </w:tc>
        <w:tc>
          <w:tcPr>
            <w:tcW w:w="211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eastAsia" w:ascii="仿宋" w:hAnsi="仿宋" w:eastAsia="仿宋"/>
                <w:color w:val="000000"/>
                <w:kern w:val="0"/>
                <w:sz w:val="18"/>
                <w:szCs w:val="18"/>
              </w:rPr>
            </w:pPr>
            <w:r>
              <w:rPr>
                <w:rFonts w:hint="eastAsia" w:ascii="仿宋" w:hAnsi="仿宋" w:eastAsia="仿宋"/>
                <w:color w:val="000000"/>
                <w:kern w:val="0"/>
                <w:sz w:val="18"/>
                <w:szCs w:val="18"/>
              </w:rPr>
              <w:t>3、项目监理服务</w:t>
            </w:r>
          </w:p>
        </w:tc>
        <w:tc>
          <w:tcPr>
            <w:tcW w:w="13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9.35万元</w:t>
            </w:r>
          </w:p>
        </w:tc>
        <w:tc>
          <w:tcPr>
            <w:tcW w:w="13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olor w:val="000000"/>
                <w:kern w:val="0"/>
                <w:sz w:val="18"/>
                <w:szCs w:val="18"/>
              </w:rPr>
            </w:pPr>
            <w:r>
              <w:rPr>
                <w:rFonts w:hint="eastAsia" w:ascii="仿宋" w:hAnsi="仿宋" w:eastAsia="仿宋"/>
                <w:color w:val="000000"/>
                <w:kern w:val="0"/>
                <w:sz w:val="18"/>
                <w:szCs w:val="18"/>
              </w:rPr>
              <w:t>9.35万元</w:t>
            </w:r>
          </w:p>
        </w:tc>
        <w:tc>
          <w:tcPr>
            <w:tcW w:w="5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olor w:val="000000"/>
                <w:kern w:val="0"/>
                <w:sz w:val="18"/>
                <w:szCs w:val="18"/>
                <w:lang w:val="en-US" w:eastAsia="zh-CN"/>
              </w:rPr>
            </w:pPr>
            <w:r>
              <w:rPr>
                <w:rFonts w:hint="eastAsia" w:ascii="仿宋" w:hAnsi="仿宋" w:eastAsia="仿宋"/>
                <w:color w:val="000000"/>
                <w:kern w:val="0"/>
                <w:sz w:val="18"/>
                <w:szCs w:val="18"/>
                <w:lang w:val="en-US" w:eastAsia="zh-CN"/>
              </w:rPr>
              <w:t>3</w:t>
            </w:r>
          </w:p>
        </w:tc>
        <w:tc>
          <w:tcPr>
            <w:tcW w:w="510" w:type="dxa"/>
            <w:vMerge w:val="continue"/>
            <w:tcBorders>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1102" w:type="dxa"/>
            <w:gridSpan w:val="2"/>
            <w:vMerge w:val="continue"/>
            <w:tcBorders>
              <w:left w:val="nil"/>
              <w:bottom w:val="single" w:color="auto" w:sz="4" w:space="0"/>
              <w:right w:val="single" w:color="auto" w:sz="4" w:space="0"/>
            </w:tcBorders>
            <w:vAlign w:val="center"/>
          </w:tcPr>
          <w:p>
            <w:pPr>
              <w:widowControl/>
              <w:jc w:val="left"/>
              <w:rPr>
                <w:rFonts w:ascii="黑体" w:hAnsi="宋体" w:eastAsia="黑体"/>
                <w:kern w:val="0"/>
              </w:rPr>
            </w:pPr>
          </w:p>
        </w:tc>
      </w:tr>
      <w:tr>
        <w:tblPrEx>
          <w:tblCellMar>
            <w:top w:w="0" w:type="dxa"/>
            <w:left w:w="108" w:type="dxa"/>
            <w:bottom w:w="0" w:type="dxa"/>
            <w:right w:w="108" w:type="dxa"/>
          </w:tblCellMar>
        </w:tblPrEx>
        <w:trPr>
          <w:trHeight w:val="531" w:hRule="atLeast"/>
          <w:jc w:val="center"/>
        </w:trPr>
        <w:tc>
          <w:tcPr>
            <w:tcW w:w="639"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kern w:val="0"/>
              </w:rPr>
            </w:pPr>
          </w:p>
        </w:tc>
        <w:tc>
          <w:tcPr>
            <w:tcW w:w="703" w:type="dxa"/>
            <w:vMerge w:val="restart"/>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效益指标</w:t>
            </w:r>
          </w:p>
          <w:p>
            <w:pPr>
              <w:widowControl/>
              <w:spacing w:line="240" w:lineRule="exact"/>
              <w:jc w:val="center"/>
              <w:rPr>
                <w:rFonts w:ascii="黑体" w:hAnsi="宋体" w:eastAsia="黑体"/>
                <w:kern w:val="0"/>
              </w:rPr>
            </w:pPr>
            <w:r>
              <w:rPr>
                <w:rFonts w:hint="eastAsia" w:ascii="黑体" w:hAnsi="宋体" w:eastAsia="黑体"/>
                <w:kern w:val="0"/>
              </w:rPr>
              <w:t>（</w:t>
            </w:r>
            <w:r>
              <w:rPr>
                <w:rFonts w:hint="eastAsia" w:ascii="黑体" w:hAnsi="宋体" w:eastAsia="黑体"/>
                <w:kern w:val="0"/>
                <w:lang w:val="en-US" w:eastAsia="zh-CN"/>
              </w:rPr>
              <w:t>3</w:t>
            </w:r>
            <w:r>
              <w:rPr>
                <w:rFonts w:hint="eastAsia" w:ascii="黑体" w:hAnsi="宋体" w:eastAsia="黑体"/>
                <w:kern w:val="0"/>
              </w:rPr>
              <w:t>0分）</w:t>
            </w:r>
          </w:p>
        </w:tc>
        <w:tc>
          <w:tcPr>
            <w:tcW w:w="15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经济效益</w:t>
            </w:r>
          </w:p>
          <w:p>
            <w:pPr>
              <w:widowControl/>
              <w:spacing w:line="240" w:lineRule="exact"/>
              <w:jc w:val="center"/>
              <w:rPr>
                <w:rFonts w:ascii="黑体" w:hAnsi="宋体" w:eastAsia="黑体"/>
                <w:kern w:val="0"/>
              </w:rPr>
            </w:pPr>
            <w:r>
              <w:rPr>
                <w:rFonts w:hint="eastAsia" w:ascii="黑体" w:hAnsi="宋体" w:eastAsia="黑体"/>
                <w:kern w:val="0"/>
              </w:rPr>
              <w:t>指标</w:t>
            </w:r>
          </w:p>
        </w:tc>
        <w:tc>
          <w:tcPr>
            <w:tcW w:w="21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olor w:val="000000"/>
                <w:kern w:val="0"/>
                <w:sz w:val="18"/>
                <w:szCs w:val="18"/>
              </w:rPr>
            </w:pPr>
            <w:r>
              <w:rPr>
                <w:rFonts w:hint="eastAsia" w:ascii="仿宋" w:hAnsi="仿宋" w:eastAsia="仿宋"/>
                <w:color w:val="000000"/>
                <w:kern w:val="0"/>
                <w:sz w:val="18"/>
                <w:szCs w:val="18"/>
              </w:rPr>
              <w:t>/</w:t>
            </w:r>
          </w:p>
        </w:tc>
        <w:tc>
          <w:tcPr>
            <w:tcW w:w="13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18"/>
                <w:szCs w:val="18"/>
              </w:rPr>
            </w:pPr>
            <w:r>
              <w:rPr>
                <w:rFonts w:hint="eastAsia" w:ascii="仿宋" w:hAnsi="仿宋" w:eastAsia="仿宋"/>
                <w:kern w:val="0"/>
                <w:sz w:val="18"/>
                <w:szCs w:val="18"/>
              </w:rPr>
              <w:t>/</w:t>
            </w:r>
          </w:p>
        </w:tc>
        <w:tc>
          <w:tcPr>
            <w:tcW w:w="13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18"/>
                <w:szCs w:val="18"/>
              </w:rPr>
            </w:pPr>
            <w:r>
              <w:rPr>
                <w:rFonts w:hint="eastAsia" w:ascii="仿宋" w:hAnsi="仿宋" w:eastAsia="仿宋"/>
                <w:kern w:val="0"/>
                <w:sz w:val="18"/>
                <w:szCs w:val="18"/>
              </w:rPr>
              <w:t>/</w:t>
            </w:r>
          </w:p>
        </w:tc>
        <w:tc>
          <w:tcPr>
            <w:tcW w:w="5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18"/>
                <w:szCs w:val="18"/>
              </w:rPr>
            </w:pPr>
            <w:r>
              <w:rPr>
                <w:rFonts w:hint="eastAsia" w:ascii="仿宋" w:hAnsi="仿宋" w:eastAsia="仿宋"/>
                <w:kern w:val="0"/>
                <w:sz w:val="18"/>
                <w:szCs w:val="18"/>
              </w:rPr>
              <w:t>/</w:t>
            </w: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18"/>
                <w:szCs w:val="18"/>
              </w:rPr>
            </w:pPr>
            <w:r>
              <w:rPr>
                <w:rFonts w:hint="eastAsia" w:ascii="仿宋" w:hAnsi="仿宋" w:eastAsia="仿宋"/>
                <w:kern w:val="0"/>
                <w:sz w:val="18"/>
                <w:szCs w:val="18"/>
              </w:rPr>
              <w:t>/</w:t>
            </w:r>
          </w:p>
        </w:tc>
        <w:tc>
          <w:tcPr>
            <w:tcW w:w="11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p>
        </w:tc>
      </w:tr>
      <w:tr>
        <w:tblPrEx>
          <w:tblCellMar>
            <w:top w:w="0" w:type="dxa"/>
            <w:left w:w="108" w:type="dxa"/>
            <w:bottom w:w="0" w:type="dxa"/>
            <w:right w:w="108" w:type="dxa"/>
          </w:tblCellMar>
        </w:tblPrEx>
        <w:trPr>
          <w:trHeight w:val="254" w:hRule="atLeast"/>
          <w:jc w:val="center"/>
        </w:trPr>
        <w:tc>
          <w:tcPr>
            <w:tcW w:w="639"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kern w:val="0"/>
              </w:rPr>
            </w:pPr>
          </w:p>
        </w:tc>
        <w:tc>
          <w:tcPr>
            <w:tcW w:w="703" w:type="dxa"/>
            <w:vMerge w:val="continue"/>
            <w:tcBorders>
              <w:top w:val="nil"/>
              <w:left w:val="nil"/>
              <w:bottom w:val="single" w:color="auto" w:sz="4" w:space="0"/>
              <w:right w:val="single" w:color="auto" w:sz="4" w:space="0"/>
            </w:tcBorders>
            <w:vAlign w:val="center"/>
          </w:tcPr>
          <w:p>
            <w:pPr>
              <w:widowControl/>
              <w:jc w:val="left"/>
              <w:rPr>
                <w:rFonts w:ascii="黑体" w:hAnsi="宋体" w:eastAsia="黑体"/>
                <w:kern w:val="0"/>
              </w:rPr>
            </w:pP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社会效益</w:t>
            </w:r>
          </w:p>
          <w:p>
            <w:pPr>
              <w:widowControl/>
              <w:spacing w:line="240" w:lineRule="exact"/>
              <w:jc w:val="center"/>
              <w:rPr>
                <w:rFonts w:ascii="黑体" w:hAnsi="宋体" w:eastAsia="黑体"/>
                <w:kern w:val="0"/>
              </w:rPr>
            </w:pPr>
            <w:r>
              <w:rPr>
                <w:rFonts w:hint="eastAsia" w:ascii="黑体" w:hAnsi="宋体" w:eastAsia="黑体"/>
                <w:kern w:val="0"/>
              </w:rPr>
              <w:t>指标（</w:t>
            </w:r>
            <w:r>
              <w:rPr>
                <w:rFonts w:hint="eastAsia" w:ascii="黑体" w:hAnsi="宋体" w:eastAsia="黑体"/>
                <w:kern w:val="0"/>
                <w:lang w:val="en-US" w:eastAsia="zh-CN"/>
              </w:rPr>
              <w:t>20</w:t>
            </w:r>
            <w:r>
              <w:rPr>
                <w:rFonts w:hint="eastAsia" w:ascii="黑体" w:hAnsi="宋体" w:eastAsia="黑体"/>
                <w:kern w:val="0"/>
              </w:rPr>
              <w:t>分）</w:t>
            </w:r>
          </w:p>
        </w:tc>
        <w:tc>
          <w:tcPr>
            <w:tcW w:w="21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olor w:val="000000"/>
                <w:kern w:val="0"/>
                <w:sz w:val="18"/>
                <w:szCs w:val="18"/>
              </w:rPr>
            </w:pPr>
            <w:r>
              <w:rPr>
                <w:rFonts w:hint="eastAsia" w:ascii="仿宋" w:hAnsi="仿宋" w:eastAsia="仿宋"/>
                <w:color w:val="000000"/>
                <w:kern w:val="0"/>
                <w:sz w:val="18"/>
                <w:szCs w:val="18"/>
              </w:rPr>
              <w:t>传统线下拍卖土地模式转为网络线上拍卖模式，简化办事流程，缩短办事时间</w:t>
            </w:r>
          </w:p>
        </w:tc>
        <w:tc>
          <w:tcPr>
            <w:tcW w:w="133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仿宋" w:hAnsi="仿宋" w:eastAsia="仿宋"/>
                <w:kern w:val="0"/>
                <w:sz w:val="18"/>
                <w:szCs w:val="18"/>
                <w:lang w:val="en-US" w:eastAsia="zh-CN"/>
              </w:rPr>
            </w:pPr>
            <w:r>
              <w:rPr>
                <w:rFonts w:hint="eastAsia" w:ascii="仿宋" w:hAnsi="仿宋" w:eastAsia="仿宋"/>
                <w:kern w:val="0"/>
                <w:sz w:val="18"/>
                <w:szCs w:val="18"/>
              </w:rPr>
              <w:t>平均时间由5天</w:t>
            </w:r>
            <w:r>
              <w:rPr>
                <w:rFonts w:hint="eastAsia" w:ascii="仿宋" w:hAnsi="仿宋" w:eastAsia="仿宋"/>
                <w:kern w:val="0"/>
                <w:sz w:val="18"/>
                <w:szCs w:val="18"/>
                <w:lang w:val="en-US" w:eastAsia="zh-CN"/>
              </w:rPr>
              <w:t>/每宗</w:t>
            </w:r>
            <w:r>
              <w:rPr>
                <w:rFonts w:hint="eastAsia" w:ascii="仿宋" w:hAnsi="仿宋" w:eastAsia="仿宋"/>
                <w:kern w:val="0"/>
                <w:sz w:val="18"/>
                <w:szCs w:val="18"/>
              </w:rPr>
              <w:t>缩短为3.5天</w:t>
            </w:r>
            <w:r>
              <w:rPr>
                <w:rFonts w:hint="eastAsia" w:ascii="仿宋" w:hAnsi="仿宋" w:eastAsia="仿宋"/>
                <w:kern w:val="0"/>
                <w:sz w:val="18"/>
                <w:szCs w:val="18"/>
                <w:lang w:val="en-US" w:eastAsia="zh-CN"/>
              </w:rPr>
              <w:t>/每宗</w:t>
            </w:r>
          </w:p>
        </w:tc>
        <w:tc>
          <w:tcPr>
            <w:tcW w:w="131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 w:hAnsi="仿宋" w:eastAsia="仿宋"/>
                <w:kern w:val="0"/>
                <w:sz w:val="18"/>
                <w:szCs w:val="18"/>
              </w:rPr>
            </w:pPr>
            <w:r>
              <w:rPr>
                <w:rFonts w:hint="eastAsia" w:ascii="仿宋" w:hAnsi="仿宋" w:eastAsia="仿宋"/>
                <w:kern w:val="0"/>
                <w:sz w:val="18"/>
                <w:szCs w:val="18"/>
              </w:rPr>
              <w:t>平均时间由5天</w:t>
            </w:r>
            <w:r>
              <w:rPr>
                <w:rFonts w:hint="eastAsia" w:ascii="仿宋" w:hAnsi="仿宋" w:eastAsia="仿宋"/>
                <w:kern w:val="0"/>
                <w:sz w:val="18"/>
                <w:szCs w:val="18"/>
                <w:lang w:val="en-US" w:eastAsia="zh-CN"/>
              </w:rPr>
              <w:t>/每宗</w:t>
            </w:r>
            <w:r>
              <w:rPr>
                <w:rFonts w:hint="eastAsia" w:ascii="仿宋" w:hAnsi="仿宋" w:eastAsia="仿宋"/>
                <w:kern w:val="0"/>
                <w:sz w:val="18"/>
                <w:szCs w:val="18"/>
              </w:rPr>
              <w:t>缩短为3.5天</w:t>
            </w:r>
            <w:r>
              <w:rPr>
                <w:rFonts w:hint="eastAsia" w:ascii="仿宋" w:hAnsi="仿宋" w:eastAsia="仿宋"/>
                <w:kern w:val="0"/>
                <w:sz w:val="18"/>
                <w:szCs w:val="18"/>
                <w:lang w:val="en-US" w:eastAsia="zh-CN"/>
              </w:rPr>
              <w:t>/每宗</w:t>
            </w:r>
          </w:p>
        </w:tc>
        <w:tc>
          <w:tcPr>
            <w:tcW w:w="5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hAnsi="仿宋" w:eastAsia="仿宋"/>
                <w:kern w:val="0"/>
                <w:sz w:val="18"/>
                <w:szCs w:val="18"/>
                <w:lang w:val="en-US" w:eastAsia="zh-CN"/>
              </w:rPr>
            </w:pPr>
            <w:r>
              <w:rPr>
                <w:rFonts w:hint="eastAsia" w:ascii="仿宋" w:hAnsi="仿宋" w:eastAsia="仿宋"/>
                <w:kern w:val="0"/>
                <w:sz w:val="18"/>
                <w:szCs w:val="18"/>
                <w:lang w:val="en-US" w:eastAsia="zh-CN"/>
              </w:rPr>
              <w:t>20</w:t>
            </w:r>
          </w:p>
        </w:tc>
        <w:tc>
          <w:tcPr>
            <w:tcW w:w="5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仿宋" w:hAnsi="仿宋" w:eastAsia="仿宋"/>
                <w:kern w:val="0"/>
                <w:sz w:val="18"/>
                <w:szCs w:val="18"/>
                <w:lang w:val="en-US" w:eastAsia="zh-CN"/>
              </w:rPr>
            </w:pPr>
            <w:r>
              <w:rPr>
                <w:rFonts w:hint="eastAsia" w:ascii="仿宋" w:hAnsi="仿宋" w:eastAsia="仿宋"/>
                <w:kern w:val="0"/>
                <w:sz w:val="18"/>
                <w:szCs w:val="18"/>
                <w:lang w:val="en-US" w:eastAsia="zh-CN"/>
              </w:rPr>
              <w:t>18</w:t>
            </w:r>
          </w:p>
        </w:tc>
        <w:tc>
          <w:tcPr>
            <w:tcW w:w="110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kern w:val="0"/>
              </w:rPr>
            </w:pPr>
          </w:p>
        </w:tc>
      </w:tr>
      <w:tr>
        <w:tblPrEx>
          <w:tblCellMar>
            <w:top w:w="0" w:type="dxa"/>
            <w:left w:w="108" w:type="dxa"/>
            <w:bottom w:w="0" w:type="dxa"/>
            <w:right w:w="108" w:type="dxa"/>
          </w:tblCellMar>
        </w:tblPrEx>
        <w:trPr>
          <w:trHeight w:val="704" w:hRule="atLeast"/>
          <w:jc w:val="center"/>
        </w:trPr>
        <w:tc>
          <w:tcPr>
            <w:tcW w:w="639"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kern w:val="0"/>
              </w:rPr>
            </w:pPr>
          </w:p>
        </w:tc>
        <w:tc>
          <w:tcPr>
            <w:tcW w:w="703" w:type="dxa"/>
            <w:vMerge w:val="continue"/>
            <w:tcBorders>
              <w:top w:val="nil"/>
              <w:left w:val="nil"/>
              <w:bottom w:val="single" w:color="auto" w:sz="4" w:space="0"/>
              <w:right w:val="single" w:color="auto" w:sz="4" w:space="0"/>
            </w:tcBorders>
            <w:vAlign w:val="center"/>
          </w:tcPr>
          <w:p>
            <w:pPr>
              <w:widowControl/>
              <w:jc w:val="left"/>
              <w:rPr>
                <w:rFonts w:ascii="黑体" w:hAnsi="宋体" w:eastAsia="黑体"/>
                <w:kern w:val="0"/>
              </w:rPr>
            </w:pPr>
          </w:p>
        </w:tc>
        <w:tc>
          <w:tcPr>
            <w:tcW w:w="15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生态效益</w:t>
            </w:r>
          </w:p>
          <w:p>
            <w:pPr>
              <w:widowControl/>
              <w:spacing w:line="240" w:lineRule="exact"/>
              <w:jc w:val="center"/>
              <w:rPr>
                <w:rFonts w:ascii="黑体" w:hAnsi="宋体" w:eastAsia="黑体"/>
                <w:kern w:val="0"/>
              </w:rPr>
            </w:pPr>
            <w:r>
              <w:rPr>
                <w:rFonts w:hint="eastAsia" w:ascii="黑体" w:hAnsi="宋体" w:eastAsia="黑体"/>
                <w:kern w:val="0"/>
              </w:rPr>
              <w:t>指标</w:t>
            </w:r>
          </w:p>
        </w:tc>
        <w:tc>
          <w:tcPr>
            <w:tcW w:w="211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olor w:val="000000"/>
                <w:kern w:val="0"/>
                <w:sz w:val="18"/>
                <w:szCs w:val="18"/>
              </w:rPr>
            </w:pPr>
            <w:r>
              <w:rPr>
                <w:rFonts w:hint="eastAsia" w:ascii="仿宋" w:hAnsi="仿宋" w:eastAsia="仿宋"/>
                <w:color w:val="000000"/>
                <w:kern w:val="0"/>
                <w:sz w:val="18"/>
                <w:szCs w:val="18"/>
              </w:rPr>
              <w:tab/>
            </w:r>
            <w:r>
              <w:rPr>
                <w:rFonts w:hint="eastAsia" w:ascii="仿宋" w:hAnsi="仿宋" w:eastAsia="仿宋"/>
                <w:color w:val="000000"/>
                <w:kern w:val="0"/>
                <w:sz w:val="18"/>
                <w:szCs w:val="18"/>
              </w:rPr>
              <w:t>/</w:t>
            </w:r>
          </w:p>
        </w:tc>
        <w:tc>
          <w:tcPr>
            <w:tcW w:w="13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18"/>
                <w:szCs w:val="18"/>
              </w:rPr>
            </w:pPr>
            <w:r>
              <w:rPr>
                <w:rFonts w:hint="eastAsia" w:ascii="仿宋" w:hAnsi="仿宋" w:eastAsia="仿宋"/>
                <w:kern w:val="0"/>
                <w:sz w:val="18"/>
                <w:szCs w:val="18"/>
              </w:rPr>
              <w:t>/</w:t>
            </w:r>
          </w:p>
        </w:tc>
        <w:tc>
          <w:tcPr>
            <w:tcW w:w="13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18"/>
                <w:szCs w:val="18"/>
              </w:rPr>
            </w:pPr>
            <w:r>
              <w:rPr>
                <w:rFonts w:hint="eastAsia" w:ascii="仿宋" w:hAnsi="仿宋" w:eastAsia="仿宋"/>
                <w:kern w:val="0"/>
                <w:sz w:val="18"/>
                <w:szCs w:val="18"/>
              </w:rPr>
              <w:t>/</w:t>
            </w:r>
          </w:p>
        </w:tc>
        <w:tc>
          <w:tcPr>
            <w:tcW w:w="5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18"/>
                <w:szCs w:val="18"/>
              </w:rPr>
            </w:pPr>
            <w:r>
              <w:rPr>
                <w:rFonts w:hint="eastAsia" w:ascii="仿宋" w:hAnsi="仿宋" w:eastAsia="仿宋"/>
                <w:kern w:val="0"/>
                <w:sz w:val="18"/>
                <w:szCs w:val="18"/>
              </w:rPr>
              <w:t>/</w:t>
            </w: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both"/>
              <w:rPr>
                <w:rFonts w:ascii="仿宋" w:hAnsi="仿宋" w:eastAsia="仿宋"/>
                <w:kern w:val="0"/>
                <w:sz w:val="18"/>
                <w:szCs w:val="18"/>
              </w:rPr>
            </w:pPr>
            <w:r>
              <w:rPr>
                <w:rFonts w:hint="eastAsia" w:ascii="仿宋" w:hAnsi="仿宋" w:eastAsia="仿宋"/>
                <w:kern w:val="0"/>
                <w:sz w:val="18"/>
                <w:szCs w:val="18"/>
              </w:rPr>
              <w:t>/</w:t>
            </w:r>
          </w:p>
        </w:tc>
        <w:tc>
          <w:tcPr>
            <w:tcW w:w="11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p>
        </w:tc>
      </w:tr>
      <w:tr>
        <w:tblPrEx>
          <w:tblCellMar>
            <w:top w:w="0" w:type="dxa"/>
            <w:left w:w="108" w:type="dxa"/>
            <w:bottom w:w="0" w:type="dxa"/>
            <w:right w:w="108" w:type="dxa"/>
          </w:tblCellMar>
        </w:tblPrEx>
        <w:trPr>
          <w:trHeight w:val="720" w:hRule="atLeast"/>
          <w:jc w:val="center"/>
        </w:trPr>
        <w:tc>
          <w:tcPr>
            <w:tcW w:w="639"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kern w:val="0"/>
              </w:rPr>
            </w:pPr>
          </w:p>
        </w:tc>
        <w:tc>
          <w:tcPr>
            <w:tcW w:w="703" w:type="dxa"/>
            <w:vMerge w:val="continue"/>
            <w:tcBorders>
              <w:top w:val="nil"/>
              <w:left w:val="nil"/>
              <w:bottom w:val="single" w:color="auto" w:sz="4" w:space="0"/>
              <w:right w:val="single" w:color="auto" w:sz="4" w:space="0"/>
            </w:tcBorders>
            <w:vAlign w:val="center"/>
          </w:tcPr>
          <w:p>
            <w:pPr>
              <w:widowControl/>
              <w:jc w:val="left"/>
              <w:rPr>
                <w:rFonts w:ascii="黑体" w:hAnsi="宋体" w:eastAsia="黑体"/>
                <w:kern w:val="0"/>
              </w:rPr>
            </w:pPr>
          </w:p>
        </w:tc>
        <w:tc>
          <w:tcPr>
            <w:tcW w:w="1565" w:type="dxa"/>
            <w:tcBorders>
              <w:top w:val="nil"/>
              <w:left w:val="nil"/>
              <w:bottom w:val="nil"/>
              <w:right w:val="single" w:color="auto" w:sz="4" w:space="0"/>
            </w:tcBorders>
            <w:vAlign w:val="center"/>
          </w:tcPr>
          <w:p>
            <w:pPr>
              <w:widowControl/>
              <w:jc w:val="left"/>
              <w:rPr>
                <w:rFonts w:hint="default" w:ascii="黑体" w:hAnsi="宋体" w:eastAsia="黑体"/>
                <w:kern w:val="0"/>
                <w:lang w:val="en-US" w:eastAsia="zh-CN"/>
              </w:rPr>
            </w:pPr>
            <w:r>
              <w:rPr>
                <w:rFonts w:hint="eastAsia" w:ascii="黑体" w:hAnsi="宋体" w:eastAsia="黑体"/>
                <w:kern w:val="0"/>
                <w:lang w:val="en-US" w:eastAsia="zh-CN"/>
              </w:rPr>
              <w:t>可持续性影响指标（10分）</w:t>
            </w:r>
          </w:p>
        </w:tc>
        <w:tc>
          <w:tcPr>
            <w:tcW w:w="211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olor w:val="000000"/>
                <w:kern w:val="0"/>
                <w:sz w:val="16"/>
                <w:szCs w:val="16"/>
              </w:rPr>
            </w:pPr>
            <w:r>
              <w:rPr>
                <w:rFonts w:hint="eastAsia" w:ascii="仿宋" w:hAnsi="仿宋" w:eastAsia="仿宋"/>
                <w:color w:val="000000"/>
                <w:kern w:val="0"/>
                <w:sz w:val="18"/>
                <w:szCs w:val="18"/>
              </w:rPr>
              <w:t>系统持续运行良好，无任何情况发生</w:t>
            </w:r>
          </w:p>
        </w:tc>
        <w:tc>
          <w:tcPr>
            <w:tcW w:w="13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olor w:val="000000"/>
                <w:kern w:val="0"/>
                <w:sz w:val="20"/>
                <w:szCs w:val="20"/>
              </w:rPr>
            </w:pPr>
            <w:r>
              <w:rPr>
                <w:rFonts w:hint="eastAsia" w:ascii="仿宋" w:hAnsi="仿宋" w:eastAsia="仿宋"/>
                <w:color w:val="000000"/>
                <w:kern w:val="0"/>
                <w:sz w:val="20"/>
                <w:szCs w:val="20"/>
              </w:rPr>
              <w:t>100%</w:t>
            </w:r>
          </w:p>
        </w:tc>
        <w:tc>
          <w:tcPr>
            <w:tcW w:w="1312" w:type="dxa"/>
            <w:tcBorders>
              <w:top w:val="single" w:color="auto" w:sz="4" w:space="0"/>
              <w:left w:val="nil"/>
              <w:bottom w:val="single" w:color="auto" w:sz="4" w:space="0"/>
              <w:right w:val="single" w:color="auto" w:sz="4" w:space="0"/>
            </w:tcBorders>
            <w:vAlign w:val="center"/>
          </w:tcPr>
          <w:p>
            <w:pPr>
              <w:widowControl/>
              <w:spacing w:line="240" w:lineRule="exact"/>
              <w:jc w:val="both"/>
              <w:rPr>
                <w:rFonts w:hint="default" w:ascii="宋体" w:hAnsi="宋体" w:eastAsia="宋体"/>
                <w:color w:val="000000"/>
                <w:kern w:val="0"/>
                <w:sz w:val="20"/>
                <w:szCs w:val="20"/>
                <w:lang w:val="en-US" w:eastAsia="zh-CN"/>
              </w:rPr>
            </w:pPr>
            <w:r>
              <w:rPr>
                <w:rFonts w:hint="eastAsia" w:ascii="宋体" w:hAnsi="宋体"/>
                <w:color w:val="000000"/>
                <w:kern w:val="0"/>
                <w:sz w:val="20"/>
                <w:szCs w:val="20"/>
                <w:lang w:val="en-US" w:eastAsia="zh-CN"/>
              </w:rPr>
              <w:t xml:space="preserve">   </w:t>
            </w:r>
            <w:r>
              <w:rPr>
                <w:rFonts w:hint="eastAsia" w:ascii="仿宋" w:hAnsi="仿宋" w:eastAsia="仿宋"/>
                <w:color w:val="000000"/>
                <w:kern w:val="0"/>
                <w:sz w:val="20"/>
                <w:szCs w:val="20"/>
              </w:rPr>
              <w:t>100%</w:t>
            </w:r>
          </w:p>
        </w:tc>
        <w:tc>
          <w:tcPr>
            <w:tcW w:w="5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10</w:t>
            </w:r>
          </w:p>
        </w:tc>
        <w:tc>
          <w:tcPr>
            <w:tcW w:w="510" w:type="dxa"/>
            <w:tcBorders>
              <w:top w:val="nil"/>
              <w:left w:val="nil"/>
              <w:bottom w:val="nil"/>
              <w:right w:val="single" w:color="auto" w:sz="4" w:space="0"/>
            </w:tcBorders>
            <w:vAlign w:val="center"/>
          </w:tcPr>
          <w:p>
            <w:pPr>
              <w:widowControl/>
              <w:jc w:val="left"/>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10</w:t>
            </w:r>
          </w:p>
        </w:tc>
        <w:tc>
          <w:tcPr>
            <w:tcW w:w="1102" w:type="dxa"/>
            <w:gridSpan w:val="2"/>
            <w:tcBorders>
              <w:top w:val="nil"/>
              <w:left w:val="nil"/>
              <w:bottom w:val="nil"/>
              <w:right w:val="single" w:color="auto" w:sz="4" w:space="0"/>
            </w:tcBorders>
            <w:vAlign w:val="center"/>
          </w:tcPr>
          <w:p>
            <w:pPr>
              <w:widowControl/>
              <w:jc w:val="left"/>
              <w:rPr>
                <w:rFonts w:ascii="黑体" w:hAnsi="宋体" w:eastAsia="黑体"/>
                <w:kern w:val="0"/>
              </w:rPr>
            </w:pPr>
          </w:p>
        </w:tc>
      </w:tr>
      <w:tr>
        <w:tblPrEx>
          <w:tblCellMar>
            <w:top w:w="0" w:type="dxa"/>
            <w:left w:w="108" w:type="dxa"/>
            <w:bottom w:w="0" w:type="dxa"/>
            <w:right w:w="108" w:type="dxa"/>
          </w:tblCellMar>
        </w:tblPrEx>
        <w:trPr>
          <w:trHeight w:val="1490" w:hRule="atLeast"/>
          <w:jc w:val="center"/>
        </w:trPr>
        <w:tc>
          <w:tcPr>
            <w:tcW w:w="639"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kern w:val="0"/>
              </w:rPr>
            </w:pPr>
          </w:p>
        </w:tc>
        <w:tc>
          <w:tcPr>
            <w:tcW w:w="703"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满意度</w:t>
            </w:r>
          </w:p>
          <w:p>
            <w:pPr>
              <w:widowControl/>
              <w:spacing w:line="240" w:lineRule="exact"/>
              <w:jc w:val="center"/>
              <w:rPr>
                <w:rFonts w:hint="eastAsia" w:ascii="黑体" w:hAnsi="宋体" w:eastAsia="黑体"/>
                <w:kern w:val="0"/>
              </w:rPr>
            </w:pPr>
            <w:r>
              <w:rPr>
                <w:rFonts w:hint="eastAsia" w:ascii="黑体" w:hAnsi="宋体" w:eastAsia="黑体"/>
                <w:kern w:val="0"/>
              </w:rPr>
              <w:t>指标</w:t>
            </w:r>
          </w:p>
          <w:p>
            <w:pPr>
              <w:widowControl/>
              <w:spacing w:line="240" w:lineRule="exact"/>
              <w:jc w:val="center"/>
              <w:rPr>
                <w:rFonts w:ascii="黑体" w:hAnsi="宋体" w:eastAsia="黑体"/>
                <w:kern w:val="0"/>
              </w:rPr>
            </w:pPr>
            <w:r>
              <w:rPr>
                <w:rFonts w:hint="eastAsia" w:ascii="黑体" w:hAnsi="宋体" w:eastAsia="黑体"/>
                <w:kern w:val="0"/>
              </w:rPr>
              <w:t>（20分）</w:t>
            </w:r>
          </w:p>
        </w:tc>
        <w:tc>
          <w:tcPr>
            <w:tcW w:w="15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kern w:val="0"/>
              </w:rPr>
            </w:pPr>
            <w:r>
              <w:rPr>
                <w:rFonts w:hint="eastAsia" w:ascii="黑体" w:hAnsi="宋体" w:eastAsia="黑体"/>
                <w:kern w:val="0"/>
              </w:rPr>
              <w:t>服务对象满意度指标（20分）</w:t>
            </w:r>
          </w:p>
        </w:tc>
        <w:tc>
          <w:tcPr>
            <w:tcW w:w="211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olor w:val="000000"/>
                <w:kern w:val="0"/>
                <w:sz w:val="16"/>
                <w:szCs w:val="16"/>
              </w:rPr>
            </w:pPr>
            <w:r>
              <w:rPr>
                <w:rFonts w:hint="eastAsia" w:ascii="仿宋" w:hAnsi="仿宋" w:eastAsia="仿宋"/>
                <w:sz w:val="18"/>
                <w:szCs w:val="18"/>
                <w:lang w:val="en-US" w:eastAsia="zh-CN"/>
              </w:rPr>
              <w:t>群众</w:t>
            </w:r>
            <w:r>
              <w:rPr>
                <w:rFonts w:hint="eastAsia" w:ascii="仿宋" w:hAnsi="仿宋" w:eastAsia="仿宋"/>
                <w:sz w:val="18"/>
                <w:szCs w:val="18"/>
              </w:rPr>
              <w:t>及单位后台管理人员对平台使用的满意度</w:t>
            </w:r>
          </w:p>
        </w:tc>
        <w:tc>
          <w:tcPr>
            <w:tcW w:w="13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rPr>
            </w:pPr>
            <w:r>
              <w:rPr>
                <w:rFonts w:hint="eastAsia" w:ascii="仿宋" w:hAnsi="仿宋" w:eastAsia="仿宋"/>
                <w:kern w:val="0"/>
                <w:sz w:val="18"/>
                <w:szCs w:val="18"/>
              </w:rPr>
              <w:t>≥</w:t>
            </w:r>
            <w:r>
              <w:rPr>
                <w:rFonts w:hint="eastAsia" w:ascii="仿宋" w:hAnsi="仿宋" w:eastAsia="仿宋"/>
                <w:color w:val="000000"/>
                <w:kern w:val="0"/>
                <w:sz w:val="18"/>
                <w:szCs w:val="18"/>
              </w:rPr>
              <w:t>9</w:t>
            </w:r>
            <w:r>
              <w:rPr>
                <w:rFonts w:hint="eastAsia" w:ascii="仿宋" w:hAnsi="仿宋" w:eastAsia="仿宋"/>
                <w:color w:val="000000"/>
                <w:kern w:val="0"/>
                <w:sz w:val="18"/>
                <w:szCs w:val="18"/>
                <w:lang w:val="en-US" w:eastAsia="zh-CN"/>
              </w:rPr>
              <w:t>0</w:t>
            </w:r>
            <w:r>
              <w:rPr>
                <w:rFonts w:hint="eastAsia" w:ascii="仿宋" w:hAnsi="仿宋" w:eastAsia="仿宋"/>
                <w:color w:val="000000"/>
                <w:kern w:val="0"/>
                <w:sz w:val="18"/>
                <w:szCs w:val="18"/>
              </w:rPr>
              <w:t>%</w:t>
            </w:r>
          </w:p>
        </w:tc>
        <w:tc>
          <w:tcPr>
            <w:tcW w:w="13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rPr>
            </w:pPr>
            <w:r>
              <w:rPr>
                <w:rFonts w:hint="eastAsia" w:ascii="仿宋" w:hAnsi="仿宋" w:eastAsia="仿宋"/>
                <w:kern w:val="0"/>
                <w:sz w:val="18"/>
                <w:szCs w:val="18"/>
              </w:rPr>
              <w:t>≥</w:t>
            </w:r>
            <w:r>
              <w:rPr>
                <w:rFonts w:hint="eastAsia" w:ascii="仿宋" w:hAnsi="仿宋" w:eastAsia="仿宋"/>
                <w:color w:val="000000"/>
                <w:kern w:val="0"/>
                <w:sz w:val="18"/>
                <w:szCs w:val="18"/>
              </w:rPr>
              <w:t>9</w:t>
            </w:r>
            <w:r>
              <w:rPr>
                <w:rFonts w:hint="eastAsia" w:ascii="仿宋" w:hAnsi="仿宋" w:eastAsia="仿宋"/>
                <w:color w:val="000000"/>
                <w:kern w:val="0"/>
                <w:sz w:val="18"/>
                <w:szCs w:val="18"/>
                <w:lang w:val="en-US" w:eastAsia="zh-CN"/>
              </w:rPr>
              <w:t>0</w:t>
            </w:r>
            <w:r>
              <w:rPr>
                <w:rFonts w:hint="eastAsia" w:ascii="仿宋" w:hAnsi="仿宋" w:eastAsia="仿宋"/>
                <w:color w:val="000000"/>
                <w:kern w:val="0"/>
                <w:sz w:val="18"/>
                <w:szCs w:val="18"/>
              </w:rPr>
              <w:t>%</w:t>
            </w:r>
          </w:p>
        </w:tc>
        <w:tc>
          <w:tcPr>
            <w:tcW w:w="5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w:t>
            </w: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20</w:t>
            </w:r>
          </w:p>
        </w:tc>
        <w:tc>
          <w:tcPr>
            <w:tcW w:w="11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 w:val="16"/>
                <w:szCs w:val="16"/>
              </w:rPr>
            </w:pPr>
          </w:p>
        </w:tc>
      </w:tr>
      <w:tr>
        <w:tblPrEx>
          <w:tblCellMar>
            <w:top w:w="0" w:type="dxa"/>
            <w:left w:w="108" w:type="dxa"/>
            <w:bottom w:w="0" w:type="dxa"/>
            <w:right w:w="108" w:type="dxa"/>
          </w:tblCellMar>
        </w:tblPrEx>
        <w:trPr>
          <w:trHeight w:val="300" w:hRule="atLeast"/>
          <w:jc w:val="center"/>
        </w:trPr>
        <w:tc>
          <w:tcPr>
            <w:tcW w:w="7672"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olor w:val="000000"/>
                <w:kern w:val="0"/>
              </w:rPr>
            </w:pPr>
            <w:r>
              <w:rPr>
                <w:rFonts w:hint="eastAsia" w:ascii="黑体" w:hAnsi="宋体" w:eastAsia="黑体"/>
                <w:color w:val="000000"/>
                <w:kern w:val="0"/>
              </w:rPr>
              <w:t>总分</w:t>
            </w:r>
          </w:p>
        </w:tc>
        <w:tc>
          <w:tcPr>
            <w:tcW w:w="5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宋体" w:eastAsia="黑体"/>
                <w:color w:val="000000"/>
                <w:kern w:val="0"/>
              </w:rPr>
            </w:pPr>
            <w:r>
              <w:rPr>
                <w:rFonts w:hint="eastAsia" w:ascii="黑体" w:hAnsi="宋体" w:eastAsia="黑体"/>
                <w:color w:val="000000"/>
                <w:kern w:val="0"/>
              </w:rPr>
              <w:t>100</w:t>
            </w:r>
          </w:p>
        </w:tc>
        <w:tc>
          <w:tcPr>
            <w:tcW w:w="5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黑体" w:hAnsi="宋体" w:eastAsia="黑体"/>
                <w:color w:val="000000"/>
                <w:kern w:val="0"/>
                <w:lang w:val="en-US" w:eastAsia="zh-CN"/>
              </w:rPr>
            </w:pPr>
            <w:r>
              <w:rPr>
                <w:rFonts w:hint="eastAsia" w:ascii="黑体" w:hAnsi="宋体" w:eastAsia="黑体"/>
                <w:color w:val="000000"/>
                <w:kern w:val="0"/>
                <w:lang w:val="en-US" w:eastAsia="zh-CN"/>
              </w:rPr>
              <w:t>96</w:t>
            </w:r>
          </w:p>
        </w:tc>
        <w:tc>
          <w:tcPr>
            <w:tcW w:w="11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kern w:val="0"/>
                <w:sz w:val="13"/>
                <w:szCs w:val="13"/>
              </w:rPr>
            </w:pPr>
          </w:p>
        </w:tc>
      </w:tr>
    </w:tbl>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仿宋" w:hAnsi="仿宋" w:eastAsia="仿宋" w:cs="仿宋"/>
          <w:b/>
          <w:bCs w:val="0"/>
          <w:sz w:val="28"/>
          <w:szCs w:val="28"/>
        </w:rPr>
      </w:pPr>
    </w:p>
    <w:p>
      <w:pPr>
        <w:keepNext w:val="0"/>
        <w:keepLines w:val="0"/>
        <w:pageBreakBefore w:val="0"/>
        <w:widowControl w:val="0"/>
        <w:numPr>
          <w:ilvl w:val="0"/>
          <w:numId w:val="7"/>
        </w:numPr>
        <w:kinsoku/>
        <w:wordWrap/>
        <w:overflowPunct/>
        <w:topLinePunct w:val="0"/>
        <w:autoSpaceDE/>
        <w:autoSpaceDN/>
        <w:bidi w:val="0"/>
        <w:adjustRightInd/>
        <w:snapToGrid/>
        <w:ind w:left="0" w:leftChars="0" w:firstLine="562" w:firstLineChars="20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绩效评价指标分析</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 w:hAnsi="仿宋" w:eastAsia="仿宋" w:cs="仿宋"/>
          <w:b/>
          <w:bCs/>
          <w:sz w:val="28"/>
          <w:szCs w:val="28"/>
          <w:lang w:val="en-US" w:eastAsia="zh-CN"/>
        </w:rPr>
      </w:pPr>
      <w:r>
        <w:rPr>
          <w:rFonts w:hint="eastAsia" w:ascii="仿宋" w:hAnsi="仿宋" w:eastAsia="仿宋" w:cs="仿宋"/>
          <w:bCs/>
          <w:sz w:val="28"/>
          <w:szCs w:val="28"/>
          <w:lang w:val="en-US" w:eastAsia="zh-CN"/>
        </w:rPr>
        <w:t xml:space="preserve">  </w:t>
      </w:r>
      <w:bookmarkStart w:id="32" w:name="_Toc480533796"/>
      <w:bookmarkStart w:id="33" w:name="_Toc480537546"/>
      <w:bookmarkStart w:id="34" w:name="_Toc480534755"/>
      <w:bookmarkStart w:id="35" w:name="_Toc480533259"/>
      <w:bookmarkStart w:id="36" w:name="_Toc480536996"/>
      <w:bookmarkStart w:id="37" w:name="_Toc480537480"/>
      <w:r>
        <w:rPr>
          <w:rFonts w:hint="eastAsia" w:ascii="仿宋" w:hAnsi="仿宋" w:eastAsia="仿宋" w:cs="仿宋"/>
          <w:b/>
          <w:bCs/>
          <w:sz w:val="28"/>
          <w:szCs w:val="28"/>
          <w:lang w:val="en-US" w:eastAsia="zh-CN"/>
        </w:rPr>
        <w:t>(一)项目决策情况</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1、</w:t>
      </w:r>
      <w:r>
        <w:rPr>
          <w:rFonts w:hint="eastAsia" w:ascii="仿宋" w:hAnsi="仿宋" w:eastAsia="仿宋" w:cs="仿宋"/>
          <w:sz w:val="28"/>
          <w:szCs w:val="28"/>
          <w:lang w:val="en-US" w:eastAsia="zh-CN"/>
        </w:rPr>
        <w:t>项目立项规范:根据《国土资源部印发&lt;关于完善建设用地使用权转让、出租、抵押市场的试点方案&gt;的通知》（国土资发〔2017〕12号）、南昌市财政局便函（洪财综便函〔2017〕103号）、《关于南昌市建设用地使用权二级市场系统平台建设项目建设书的批复》（洪发改区字〔2017〕47号）确立本项目。</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设立项目预期目标：截至2019年6月，已完成土地二级市场交易系统平台建设，并进入试运行阶段。</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2、</w:t>
      </w:r>
      <w:r>
        <w:rPr>
          <w:rFonts w:hint="eastAsia" w:ascii="仿宋" w:hAnsi="仿宋" w:eastAsia="仿宋" w:cs="仿宋"/>
          <w:b w:val="0"/>
          <w:bCs w:val="0"/>
          <w:sz w:val="28"/>
          <w:szCs w:val="28"/>
          <w:lang w:val="en-US" w:eastAsia="zh-CN"/>
        </w:rPr>
        <w:t>资金支付率：(实际支出资金÷预算安排资金)×100%=（625.63/625.63）×100%=100%，</w:t>
      </w:r>
      <w:r>
        <w:rPr>
          <w:rFonts w:hint="eastAsia" w:ascii="仿宋" w:hAnsi="仿宋" w:eastAsia="仿宋" w:cs="仿宋"/>
          <w:sz w:val="28"/>
          <w:szCs w:val="28"/>
          <w:lang w:val="en-US" w:eastAsia="zh-CN"/>
        </w:rPr>
        <w:t>其中硬件采购459.95万元，信息平台建设采购146.98万元，监理服务采购18.7万元，</w:t>
      </w:r>
      <w:r>
        <w:rPr>
          <w:rFonts w:hint="eastAsia" w:ascii="仿宋" w:hAnsi="仿宋" w:eastAsia="仿宋" w:cs="仿宋"/>
          <w:b w:val="0"/>
          <w:bCs w:val="0"/>
          <w:sz w:val="28"/>
          <w:szCs w:val="28"/>
          <w:lang w:val="en-US" w:eastAsia="zh-CN"/>
        </w:rPr>
        <w:t>该项指标得2.5分。</w:t>
      </w:r>
    </w:p>
    <w:p>
      <w:pPr>
        <w:keepNext w:val="0"/>
        <w:keepLines w:val="0"/>
        <w:pageBreakBefore w:val="0"/>
        <w:widowControl w:val="0"/>
        <w:numPr>
          <w:ilvl w:val="0"/>
          <w:numId w:val="0"/>
        </w:numPr>
        <w:kinsoku/>
        <w:wordWrap/>
        <w:overflowPunct/>
        <w:topLinePunct w:val="0"/>
        <w:autoSpaceDE/>
        <w:autoSpaceDN/>
        <w:bidi w:val="0"/>
        <w:adjustRightInd/>
        <w:snapToGrid/>
        <w:ind w:firstLine="281" w:firstLineChars="1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（二）项目过程情况</w:t>
      </w:r>
    </w:p>
    <w:p>
      <w:pPr>
        <w:keepNext w:val="0"/>
        <w:keepLines w:val="0"/>
        <w:pageBreakBefore w:val="0"/>
        <w:widowControl w:val="0"/>
        <w:numPr>
          <w:ilvl w:val="0"/>
          <w:numId w:val="0"/>
        </w:numPr>
        <w:kinsoku/>
        <w:wordWrap/>
        <w:overflowPunct/>
        <w:topLinePunct w:val="0"/>
        <w:autoSpaceDE/>
        <w:autoSpaceDN/>
        <w:bidi w:val="0"/>
        <w:adjustRightInd/>
        <w:snapToGrid/>
        <w:ind w:firstLine="281" w:firstLineChars="100"/>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  </w:t>
      </w:r>
      <w:r>
        <w:rPr>
          <w:rFonts w:hint="eastAsia" w:ascii="仿宋" w:hAnsi="仿宋" w:eastAsia="仿宋" w:cs="仿宋"/>
          <w:b w:val="0"/>
          <w:bCs w:val="0"/>
          <w:sz w:val="28"/>
          <w:szCs w:val="28"/>
          <w:lang w:val="en-US" w:eastAsia="zh-CN"/>
        </w:rPr>
        <w:t xml:space="preserve"> 业务管理：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(1)管理制度健全性：信息技术科负责该项目具体业务，制订了《档案信息中心政府采购暂行管理制度》、《档案信息中心合同管理制度》；</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(2)项目质量可控性：具有相应的项目质量要求成标准；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财务管理：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(1)管理制度健全性：制订了《档案信息中心经费开支管理制度》</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(2)财务</w:t>
      </w:r>
      <w:bookmarkEnd w:id="32"/>
      <w:bookmarkEnd w:id="33"/>
      <w:bookmarkEnd w:id="34"/>
      <w:bookmarkEnd w:id="35"/>
      <w:bookmarkEnd w:id="36"/>
      <w:bookmarkEnd w:id="37"/>
      <w:bookmarkStart w:id="38" w:name="_Toc480537482"/>
      <w:bookmarkStart w:id="39" w:name="_Toc480537548"/>
      <w:bookmarkStart w:id="40" w:name="_Toc480533798"/>
      <w:bookmarkStart w:id="41" w:name="_Toc480536998"/>
      <w:bookmarkStart w:id="42" w:name="_Toc480534757"/>
      <w:bookmarkStart w:id="43" w:name="_Toc480533261"/>
      <w:bookmarkStart w:id="44" w:name="_Toc24212"/>
      <w:r>
        <w:rPr>
          <w:rFonts w:hint="eastAsia" w:ascii="仿宋" w:hAnsi="仿宋" w:eastAsia="仿宋" w:cs="仿宋"/>
          <w:b w:val="0"/>
          <w:bCs w:val="0"/>
          <w:sz w:val="28"/>
          <w:szCs w:val="28"/>
          <w:lang w:val="en-US" w:eastAsia="zh-CN"/>
        </w:rPr>
        <w:t>管理：该项目经局领导集体研究同意，财务手续完善，按照财务管理要求，项目进度款支付，由经办业务处室提出付款请求，业务处室负责人签字审核，报分管局领导批准后，再转报至局财务处审核后，由分管财务局领导签批后，方能支付项目进度款，符合市自然资源局经费管理开支办法的规定。</w:t>
      </w:r>
    </w:p>
    <w:p>
      <w:pPr>
        <w:keepNext w:val="0"/>
        <w:keepLines w:val="0"/>
        <w:pageBreakBefore w:val="0"/>
        <w:widowControl w:val="0"/>
        <w:numPr>
          <w:ilvl w:val="0"/>
          <w:numId w:val="0"/>
        </w:numPr>
        <w:kinsoku/>
        <w:wordWrap/>
        <w:overflowPunct/>
        <w:topLinePunct w:val="0"/>
        <w:autoSpaceDE/>
        <w:autoSpaceDN/>
        <w:bidi w:val="0"/>
        <w:adjustRightInd/>
        <w:snapToGrid/>
        <w:ind w:firstLine="281" w:firstLineChars="100"/>
        <w:textAlignment w:val="auto"/>
        <w:rPr>
          <w:rFonts w:hint="eastAsia" w:ascii="仿宋" w:hAnsi="仿宋" w:eastAsia="仿宋" w:cs="仿宋"/>
          <w:sz w:val="28"/>
          <w:szCs w:val="28"/>
          <w:lang w:eastAsia="zh-CN"/>
        </w:rPr>
      </w:pPr>
      <w:r>
        <w:rPr>
          <w:rFonts w:hint="eastAsia" w:ascii="仿宋" w:hAnsi="仿宋" w:eastAsia="仿宋" w:cs="仿宋"/>
          <w:b/>
          <w:sz w:val="28"/>
          <w:szCs w:val="28"/>
        </w:rPr>
        <w:t>（</w:t>
      </w:r>
      <w:r>
        <w:rPr>
          <w:rFonts w:hint="eastAsia" w:ascii="仿宋" w:hAnsi="仿宋" w:eastAsia="仿宋" w:cs="仿宋"/>
          <w:b/>
          <w:sz w:val="28"/>
          <w:szCs w:val="28"/>
          <w:lang w:val="en-US" w:eastAsia="zh-CN"/>
        </w:rPr>
        <w:t>三</w:t>
      </w:r>
      <w:r>
        <w:rPr>
          <w:rFonts w:hint="eastAsia" w:ascii="仿宋" w:hAnsi="仿宋" w:eastAsia="仿宋" w:cs="仿宋"/>
          <w:b/>
          <w:sz w:val="28"/>
          <w:szCs w:val="28"/>
        </w:rPr>
        <w:t>）项目产出</w:t>
      </w:r>
      <w:bookmarkEnd w:id="38"/>
      <w:bookmarkEnd w:id="39"/>
      <w:bookmarkEnd w:id="40"/>
      <w:bookmarkEnd w:id="41"/>
      <w:bookmarkEnd w:id="42"/>
      <w:bookmarkEnd w:id="43"/>
      <w:r>
        <w:rPr>
          <w:rFonts w:hint="eastAsia" w:ascii="仿宋" w:hAnsi="仿宋" w:eastAsia="仿宋" w:cs="仿宋"/>
          <w:b/>
          <w:sz w:val="28"/>
          <w:szCs w:val="28"/>
          <w:lang w:eastAsia="zh-CN"/>
        </w:rPr>
        <w:t>情况</w:t>
      </w:r>
    </w:p>
    <w:bookmarkEnd w:id="44"/>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1、产出数量情况( 20分)，该指标评价得分为18分。</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建设土地二级市场交易平台（包含后台管理系统）1个，根据评分标准，该项指标</w:t>
      </w:r>
      <w:r>
        <w:rPr>
          <w:rFonts w:hint="eastAsia" w:ascii="仿宋" w:hAnsi="仿宋" w:eastAsia="仿宋" w:cs="仿宋"/>
          <w:sz w:val="28"/>
          <w:szCs w:val="28"/>
        </w:rPr>
        <w:t>得</w:t>
      </w:r>
      <w:r>
        <w:rPr>
          <w:rFonts w:hint="eastAsia" w:ascii="仿宋" w:hAnsi="仿宋" w:eastAsia="仿宋" w:cs="仿宋"/>
          <w:sz w:val="28"/>
          <w:szCs w:val="28"/>
          <w:lang w:val="en-US" w:eastAsia="zh-CN"/>
        </w:rPr>
        <w:t>5</w:t>
      </w:r>
      <w:r>
        <w:rPr>
          <w:rFonts w:hint="eastAsia" w:ascii="仿宋" w:hAnsi="仿宋" w:eastAsia="仿宋" w:cs="仿宋"/>
          <w:sz w:val="28"/>
          <w:szCs w:val="28"/>
        </w:rPr>
        <w:t>分；</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交易平台可同时在线交易人数≥500人；</w:t>
      </w:r>
      <w:r>
        <w:rPr>
          <w:rFonts w:hint="eastAsia" w:ascii="仿宋" w:hAnsi="仿宋" w:eastAsia="仿宋" w:cs="仿宋"/>
          <w:sz w:val="28"/>
          <w:szCs w:val="28"/>
        </w:rPr>
        <w:t>根据评分标准，该项指标得</w:t>
      </w:r>
      <w:r>
        <w:rPr>
          <w:rFonts w:hint="eastAsia" w:ascii="仿宋" w:hAnsi="仿宋" w:eastAsia="仿宋" w:cs="仿宋"/>
          <w:sz w:val="28"/>
          <w:szCs w:val="28"/>
          <w:lang w:val="en-US" w:eastAsia="zh-CN"/>
        </w:rPr>
        <w:t>5</w:t>
      </w:r>
      <w:r>
        <w:rPr>
          <w:rFonts w:hint="eastAsia" w:ascii="仿宋" w:hAnsi="仿宋" w:eastAsia="仿宋" w:cs="仿宋"/>
          <w:sz w:val="28"/>
          <w:szCs w:val="28"/>
        </w:rPr>
        <w:t>分</w:t>
      </w:r>
      <w:r>
        <w:rPr>
          <w:rFonts w:hint="eastAsia" w:ascii="仿宋" w:hAnsi="仿宋" w:eastAsia="仿宋" w:cs="仿宋"/>
          <w:sz w:val="28"/>
          <w:szCs w:val="28"/>
          <w:lang w:eastAsia="zh-CN"/>
        </w:rPr>
        <w:t>。</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办结土地拍卖案例5宗以上，根据评分标准，该项指标</w:t>
      </w:r>
      <w:r>
        <w:rPr>
          <w:rFonts w:hint="eastAsia" w:ascii="仿宋" w:hAnsi="仿宋" w:eastAsia="仿宋" w:cs="仿宋"/>
          <w:sz w:val="28"/>
          <w:szCs w:val="28"/>
        </w:rPr>
        <w:t>得</w:t>
      </w:r>
      <w:r>
        <w:rPr>
          <w:rFonts w:hint="eastAsia" w:ascii="仿宋" w:hAnsi="仿宋" w:eastAsia="仿宋" w:cs="仿宋"/>
          <w:sz w:val="28"/>
          <w:szCs w:val="28"/>
          <w:lang w:val="en-US" w:eastAsia="zh-CN"/>
        </w:rPr>
        <w:t>8</w:t>
      </w:r>
      <w:r>
        <w:rPr>
          <w:rFonts w:hint="eastAsia" w:ascii="仿宋" w:hAnsi="仿宋" w:eastAsia="仿宋" w:cs="仿宋"/>
          <w:sz w:val="28"/>
          <w:szCs w:val="28"/>
        </w:rPr>
        <w:t>分。</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281" w:firstLineChars="100"/>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2、产出质量情况( 15分)，该指标评价得分为15分。</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w:t>
      </w:r>
      <w:r>
        <w:rPr>
          <w:rFonts w:hint="eastAsia" w:ascii="仿宋" w:hAnsi="仿宋" w:eastAsia="仿宋" w:cs="仿宋"/>
          <w:sz w:val="28"/>
          <w:szCs w:val="28"/>
          <w:lang w:val="en-US" w:eastAsia="zh-CN"/>
        </w:rPr>
        <w:t>1</w:t>
      </w:r>
      <w:r>
        <w:rPr>
          <w:rFonts w:hint="eastAsia" w:ascii="仿宋" w:hAnsi="仿宋" w:eastAsia="仿宋" w:cs="仿宋"/>
          <w:sz w:val="28"/>
          <w:szCs w:val="28"/>
        </w:rPr>
        <w:t>）</w:t>
      </w:r>
      <w:r>
        <w:rPr>
          <w:rFonts w:hint="eastAsia" w:ascii="仿宋" w:hAnsi="仿宋" w:eastAsia="仿宋" w:cs="仿宋"/>
          <w:sz w:val="28"/>
          <w:szCs w:val="28"/>
          <w:lang w:val="en-US" w:eastAsia="zh-CN"/>
        </w:rPr>
        <w:t>宽带网络传输速率≥20M；</w:t>
      </w:r>
      <w:r>
        <w:rPr>
          <w:rFonts w:hint="eastAsia" w:ascii="仿宋" w:hAnsi="仿宋" w:eastAsia="仿宋" w:cs="仿宋"/>
          <w:sz w:val="28"/>
          <w:szCs w:val="28"/>
        </w:rPr>
        <w:t>根据评分标准，该项指标得</w:t>
      </w:r>
      <w:r>
        <w:rPr>
          <w:rFonts w:hint="eastAsia" w:ascii="仿宋" w:hAnsi="仿宋" w:eastAsia="仿宋" w:cs="仿宋"/>
          <w:sz w:val="28"/>
          <w:szCs w:val="28"/>
          <w:lang w:val="en-US" w:eastAsia="zh-CN"/>
        </w:rPr>
        <w:t>7.5</w:t>
      </w:r>
      <w:r>
        <w:rPr>
          <w:rFonts w:hint="eastAsia" w:ascii="仿宋" w:hAnsi="仿宋" w:eastAsia="仿宋" w:cs="仿宋"/>
          <w:sz w:val="28"/>
          <w:szCs w:val="28"/>
        </w:rPr>
        <w:t>分</w:t>
      </w:r>
      <w:r>
        <w:rPr>
          <w:rFonts w:hint="eastAsia" w:ascii="仿宋" w:hAnsi="仿宋" w:eastAsia="仿宋" w:cs="仿宋"/>
          <w:sz w:val="28"/>
          <w:szCs w:val="28"/>
          <w:lang w:eastAsia="zh-CN"/>
        </w:rPr>
        <w:t>。</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w:t>
      </w:r>
      <w:r>
        <w:rPr>
          <w:rFonts w:hint="eastAsia" w:ascii="仿宋" w:hAnsi="仿宋" w:eastAsia="仿宋" w:cs="仿宋"/>
          <w:sz w:val="28"/>
          <w:szCs w:val="28"/>
          <w:lang w:val="en-US" w:eastAsia="zh-CN"/>
        </w:rPr>
        <w:t>发出指令后系统反馈时间≦2秒。</w:t>
      </w:r>
      <w:r>
        <w:rPr>
          <w:rFonts w:hint="eastAsia" w:ascii="仿宋" w:hAnsi="仿宋" w:eastAsia="仿宋" w:cs="仿宋"/>
          <w:sz w:val="28"/>
          <w:szCs w:val="28"/>
        </w:rPr>
        <w:t>根据评分标准，该项指标得</w:t>
      </w:r>
      <w:r>
        <w:rPr>
          <w:rFonts w:hint="eastAsia" w:ascii="仿宋" w:hAnsi="仿宋" w:eastAsia="仿宋" w:cs="仿宋"/>
          <w:sz w:val="28"/>
          <w:szCs w:val="28"/>
          <w:lang w:val="en-US" w:eastAsia="zh-CN"/>
        </w:rPr>
        <w:t>7.5</w:t>
      </w:r>
      <w:r>
        <w:rPr>
          <w:rFonts w:hint="eastAsia" w:ascii="仿宋" w:hAnsi="仿宋" w:eastAsia="仿宋" w:cs="仿宋"/>
          <w:sz w:val="28"/>
          <w:szCs w:val="28"/>
        </w:rPr>
        <w:t>分</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lang w:val="en-US" w:eastAsia="zh-CN"/>
        </w:rPr>
      </w:pPr>
      <w:bookmarkStart w:id="45" w:name="_Toc5785"/>
      <w:r>
        <w:rPr>
          <w:rFonts w:hint="eastAsia" w:ascii="仿宋" w:hAnsi="仿宋" w:eastAsia="仿宋" w:cs="仿宋"/>
          <w:b/>
          <w:bCs/>
          <w:sz w:val="28"/>
          <w:szCs w:val="28"/>
          <w:lang w:val="en-US" w:eastAsia="zh-CN"/>
        </w:rPr>
        <w:t>3、产出时效情况(5分)，该项指标得5分。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color w:val="000000"/>
          <w:kern w:val="0"/>
          <w:sz w:val="28"/>
          <w:szCs w:val="28"/>
        </w:rPr>
        <w:t>项目建设完成并验收合格，已投入试运行阶段</w:t>
      </w:r>
    </w:p>
    <w:bookmarkEnd w:id="45"/>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4、产出成本情况(10分)，该项指标评价得分为10分。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预算控制率：(实际支出资金÷预算安排资金)× 100%=(625.63</w:t>
      </w:r>
      <w:r>
        <w:rPr>
          <w:rFonts w:hint="eastAsia" w:ascii="仿宋" w:hAnsi="仿宋" w:eastAsia="仿宋" w:cs="仿宋"/>
          <w:sz w:val="28"/>
          <w:szCs w:val="28"/>
          <w:lang w:val="en-US" w:eastAsia="zh-CN"/>
        </w:rPr>
        <w:t>/625.63</w:t>
      </w:r>
      <w:r>
        <w:rPr>
          <w:rFonts w:hint="eastAsia" w:ascii="仿宋" w:hAnsi="仿宋" w:eastAsia="仿宋" w:cs="仿宋"/>
          <w:b w:val="0"/>
          <w:bCs w:val="0"/>
          <w:sz w:val="28"/>
          <w:szCs w:val="28"/>
          <w:lang w:val="en-US" w:eastAsia="zh-CN"/>
        </w:rPr>
        <w:t>)×100%=100%，</w:t>
      </w:r>
      <w:r>
        <w:rPr>
          <w:rFonts w:hint="eastAsia" w:ascii="仿宋" w:hAnsi="仿宋" w:eastAsia="仿宋" w:cs="仿宋"/>
          <w:sz w:val="28"/>
          <w:szCs w:val="28"/>
          <w:lang w:val="en-US" w:eastAsia="zh-CN"/>
        </w:rPr>
        <w:t>其中硬件采购459.95万元，信息平台建设采购146.98万元，监理服务采购18.7万元</w:t>
      </w:r>
      <w:r>
        <w:rPr>
          <w:rFonts w:hint="eastAsia" w:ascii="仿宋" w:hAnsi="仿宋" w:eastAsia="仿宋" w:cs="仿宋"/>
          <w:b w:val="0"/>
          <w:bCs w:val="0"/>
          <w:sz w:val="28"/>
          <w:szCs w:val="28"/>
          <w:lang w:val="en-US" w:eastAsia="zh-CN"/>
        </w:rPr>
        <w:t>该项指标得10分。</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lang w:eastAsia="zh-CN"/>
        </w:rPr>
      </w:pPr>
      <w:bookmarkStart w:id="46" w:name="_Toc22638"/>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四</w:t>
      </w:r>
      <w:r>
        <w:rPr>
          <w:rFonts w:hint="eastAsia" w:ascii="仿宋" w:hAnsi="仿宋" w:eastAsia="仿宋" w:cs="仿宋"/>
          <w:b/>
          <w:bCs/>
          <w:sz w:val="28"/>
          <w:szCs w:val="28"/>
          <w:lang w:eastAsia="zh-CN"/>
        </w:rPr>
        <w:t>）</w:t>
      </w:r>
      <w:r>
        <w:rPr>
          <w:rFonts w:hint="eastAsia" w:ascii="仿宋" w:hAnsi="仿宋" w:eastAsia="仿宋" w:cs="仿宋"/>
          <w:b/>
          <w:bCs/>
          <w:sz w:val="28"/>
          <w:szCs w:val="28"/>
        </w:rPr>
        <w:t>项目效果指标</w:t>
      </w:r>
      <w:bookmarkEnd w:id="46"/>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30分）</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根据评价原则，项目效果评价得分为28分。</w:t>
      </w:r>
    </w:p>
    <w:p>
      <w:pPr>
        <w:pStyle w:val="21"/>
        <w:ind w:firstLine="643"/>
        <w:rPr>
          <w:rFonts w:hint="default" w:ascii="仿宋" w:hAnsi="仿宋" w:eastAsia="仿宋" w:cs="仿宋"/>
          <w:b/>
          <w:bCs/>
          <w:sz w:val="28"/>
          <w:szCs w:val="28"/>
          <w:lang w:val="en-US"/>
        </w:rPr>
      </w:pPr>
      <w:bookmarkStart w:id="47" w:name="_Toc5641"/>
      <w:r>
        <w:rPr>
          <w:rFonts w:hint="eastAsia" w:ascii="仿宋" w:hAnsi="仿宋" w:eastAsia="仿宋" w:cs="仿宋"/>
          <w:b/>
          <w:bCs/>
          <w:sz w:val="28"/>
          <w:szCs w:val="28"/>
          <w:lang w:val="en-US" w:eastAsia="zh-CN"/>
        </w:rPr>
        <w:t>1、</w:t>
      </w:r>
      <w:r>
        <w:rPr>
          <w:rFonts w:hint="eastAsia" w:ascii="仿宋" w:hAnsi="仿宋" w:eastAsia="仿宋" w:cs="仿宋"/>
          <w:b/>
          <w:bCs/>
          <w:sz w:val="28"/>
          <w:szCs w:val="28"/>
        </w:rPr>
        <w:t>社会效益指标</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20分</w:t>
      </w:r>
      <w:r>
        <w:rPr>
          <w:rFonts w:hint="eastAsia" w:ascii="仿宋" w:hAnsi="仿宋" w:eastAsia="仿宋" w:cs="仿宋"/>
          <w:b/>
          <w:bCs/>
          <w:sz w:val="28"/>
          <w:szCs w:val="28"/>
          <w:lang w:eastAsia="zh-CN"/>
        </w:rPr>
        <w:t>），</w:t>
      </w:r>
      <w:bookmarkEnd w:id="47"/>
      <w:r>
        <w:rPr>
          <w:rFonts w:hint="eastAsia" w:ascii="仿宋" w:hAnsi="仿宋" w:eastAsia="仿宋" w:cs="仿宋"/>
          <w:b/>
          <w:bCs/>
          <w:sz w:val="28"/>
          <w:szCs w:val="28"/>
          <w:lang w:val="en-US" w:eastAsia="zh-CN"/>
        </w:rPr>
        <w:t>该项指标评价得分为18分。</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传统线下土地拍卖模式转变为线上拍卖，简化办事流程，办事时间由原来的平均每宗/5天缩短为现在的平均每宗/3.5天。</w:t>
      </w:r>
    </w:p>
    <w:p>
      <w:pPr>
        <w:pStyle w:val="21"/>
        <w:ind w:firstLine="643"/>
        <w:rPr>
          <w:rFonts w:hint="default" w:ascii="仿宋" w:hAnsi="仿宋" w:eastAsia="仿宋" w:cs="仿宋"/>
          <w:b/>
          <w:bCs/>
          <w:sz w:val="28"/>
          <w:szCs w:val="28"/>
          <w:lang w:val="en-US" w:eastAsia="zh-CN"/>
        </w:rPr>
      </w:pPr>
      <w:bookmarkStart w:id="48" w:name="_Toc8557"/>
      <w:r>
        <w:rPr>
          <w:rFonts w:hint="eastAsia" w:ascii="仿宋" w:hAnsi="仿宋" w:eastAsia="仿宋" w:cs="仿宋"/>
          <w:b/>
          <w:bCs/>
          <w:sz w:val="28"/>
          <w:szCs w:val="28"/>
          <w:lang w:val="en-US" w:eastAsia="zh-CN"/>
        </w:rPr>
        <w:t>2</w:t>
      </w:r>
      <w:r>
        <w:rPr>
          <w:rFonts w:hint="eastAsia" w:ascii="仿宋" w:hAnsi="仿宋" w:eastAsia="仿宋" w:cs="仿宋"/>
          <w:b/>
          <w:bCs/>
          <w:sz w:val="28"/>
          <w:szCs w:val="28"/>
        </w:rPr>
        <w:t>、</w:t>
      </w:r>
      <w:bookmarkEnd w:id="48"/>
      <w:r>
        <w:rPr>
          <w:rFonts w:hint="eastAsia" w:ascii="仿宋" w:hAnsi="仿宋" w:eastAsia="仿宋" w:cs="仿宋"/>
          <w:b/>
          <w:bCs/>
          <w:sz w:val="28"/>
          <w:szCs w:val="28"/>
          <w:lang w:val="en-US" w:eastAsia="zh-CN"/>
        </w:rPr>
        <w:t>可持续性影响指标（10分），该项指标评价得分为10分。</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土地交易平台运行状况良好，无故障发生。</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(五)项目满意度(10分)，根据评价原则，满意度评价得分为10分。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pPr>
      <w:r>
        <w:rPr>
          <w:rFonts w:hint="eastAsia" w:ascii="仿宋" w:hAnsi="仿宋" w:eastAsia="仿宋" w:cs="仿宋"/>
          <w:b w:val="0"/>
          <w:bCs w:val="0"/>
          <w:sz w:val="28"/>
          <w:szCs w:val="28"/>
          <w:lang w:val="en-US" w:eastAsia="zh-CN"/>
        </w:rPr>
        <w:t>通过本单位发放的调查问卷结果显示，社会公众或服务对象满意度≥90%，该项指标得10分。</w:t>
      </w:r>
    </w:p>
    <w:p>
      <w:pPr>
        <w:numPr>
          <w:ilvl w:val="0"/>
          <w:numId w:val="8"/>
        </w:num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主要经验及做法、存在的问题及原因分析</w:t>
      </w:r>
    </w:p>
    <w:bookmarkEnd w:id="1"/>
    <w:p>
      <w:p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（一）主要经验及做法</w:t>
      </w:r>
    </w:p>
    <w:p>
      <w:pPr>
        <w:numPr>
          <w:ilvl w:val="0"/>
          <w:numId w:val="9"/>
        </w:numPr>
        <w:adjustRightIn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由于该平台为土地拍卖性质的交易平台，为保障拍卖时效性要求，项目单位需在模拟拍卖过程中逐步进行调整。</w:t>
      </w:r>
    </w:p>
    <w:p>
      <w:pPr>
        <w:numPr>
          <w:ilvl w:val="0"/>
          <w:numId w:val="9"/>
        </w:numPr>
        <w:adjustRightIn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为保障</w:t>
      </w:r>
      <w:r>
        <w:rPr>
          <w:rFonts w:hint="eastAsia" w:ascii="仿宋" w:hAnsi="仿宋" w:eastAsia="仿宋" w:cs="仿宋"/>
          <w:sz w:val="28"/>
          <w:szCs w:val="28"/>
          <w:lang w:val="en-US" w:eastAsia="zh-CN"/>
        </w:rPr>
        <w:t>拍卖及买卖双方</w:t>
      </w:r>
      <w:r>
        <w:rPr>
          <w:rFonts w:hint="eastAsia" w:ascii="仿宋" w:hAnsi="仿宋" w:eastAsia="仿宋" w:cs="仿宋"/>
          <w:sz w:val="28"/>
          <w:szCs w:val="28"/>
        </w:rPr>
        <w:t>数据的准确性，对于批量处理的问题数据，按照一次作业两次检查的模式整理好作业成果，并交由局相关处室核查后，再进行数据</w:t>
      </w:r>
      <w:r>
        <w:rPr>
          <w:rFonts w:hint="eastAsia" w:ascii="仿宋" w:hAnsi="仿宋" w:eastAsia="仿宋" w:cs="仿宋"/>
          <w:sz w:val="28"/>
          <w:szCs w:val="28"/>
          <w:lang w:val="en-US" w:eastAsia="zh-CN"/>
        </w:rPr>
        <w:t>删减更改</w:t>
      </w:r>
      <w:r>
        <w:rPr>
          <w:rFonts w:hint="eastAsia" w:ascii="仿宋" w:hAnsi="仿宋" w:eastAsia="仿宋" w:cs="仿宋"/>
          <w:sz w:val="28"/>
          <w:szCs w:val="28"/>
        </w:rPr>
        <w:t>操作。</w:t>
      </w:r>
    </w:p>
    <w:p>
      <w:pPr>
        <w:numPr>
          <w:ilvl w:val="0"/>
          <w:numId w:val="9"/>
        </w:numPr>
        <w:adjustRightInd w:val="0"/>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对于疑难问题数据，加强与相关处室沟通，积极寻求问题数据解决方案，保障数据</w:t>
      </w:r>
      <w:r>
        <w:rPr>
          <w:rFonts w:hint="eastAsia" w:ascii="仿宋" w:hAnsi="仿宋" w:eastAsia="仿宋" w:cs="仿宋"/>
          <w:sz w:val="28"/>
          <w:szCs w:val="28"/>
          <w:lang w:val="en-US" w:eastAsia="zh-CN"/>
        </w:rPr>
        <w:t>妥善</w:t>
      </w:r>
      <w:r>
        <w:rPr>
          <w:rFonts w:hint="eastAsia" w:ascii="仿宋" w:hAnsi="仿宋" w:eastAsia="仿宋" w:cs="仿宋"/>
          <w:sz w:val="28"/>
          <w:szCs w:val="28"/>
        </w:rPr>
        <w:t>处理。</w:t>
      </w:r>
    </w:p>
    <w:p>
      <w:pPr>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（二）存在的问题及原因分析</w:t>
      </w:r>
    </w:p>
    <w:p>
      <w:pPr>
        <w:adjustRightInd w:val="0"/>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w:t>
      </w:r>
      <w:r>
        <w:rPr>
          <w:rFonts w:hint="eastAsia" w:ascii="仿宋" w:hAnsi="仿宋" w:eastAsia="仿宋" w:cs="仿宋"/>
          <w:sz w:val="28"/>
          <w:szCs w:val="28"/>
          <w:lang w:val="en-US" w:eastAsia="zh-CN"/>
        </w:rPr>
        <w:t>1）由于该平台采用的时线上拍卖的形式，所以存在因网速等原因存在的部分拍卖性息不能及时上传而产生的纠纷问题；</w:t>
      </w:r>
    </w:p>
    <w:p>
      <w:pPr>
        <w:adjustRightInd w:val="0"/>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（2）在土地拍卖的过程中，除系统管理后台能清楚了解买卖双方的信息外，由于对买卖双方的过于保护，对外公布的买卖双方的信息往往不透明，导致很多最基本的身份信息都得不到验证。</w:t>
      </w:r>
    </w:p>
    <w:p>
      <w:pPr>
        <w:adjustRightInd w:val="0"/>
        <w:spacing w:line="5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六、有关建议</w:t>
      </w:r>
    </w:p>
    <w:p>
      <w:pPr>
        <w:spacing w:line="5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（1）</w:t>
      </w:r>
      <w:r>
        <w:rPr>
          <w:rFonts w:hint="eastAsia" w:ascii="仿宋" w:hAnsi="仿宋" w:eastAsia="仿宋" w:cs="仿宋"/>
          <w:sz w:val="28"/>
          <w:szCs w:val="28"/>
          <w:lang w:val="en-US" w:eastAsia="zh-CN"/>
        </w:rPr>
        <w:t>加强网络宽带</w:t>
      </w:r>
    </w:p>
    <w:p>
      <w:pPr>
        <w:spacing w:line="560" w:lineRule="exact"/>
        <w:ind w:firstLine="840" w:firstLineChars="3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进一步完善三家网络运营商网络运行，使得项目竞拍过程尽量不产生因网速原因而引起的纠纷。</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w:t>
      </w:r>
      <w:r>
        <w:rPr>
          <w:rFonts w:hint="eastAsia" w:ascii="仿宋" w:hAnsi="仿宋" w:eastAsia="仿宋" w:cs="仿宋"/>
          <w:sz w:val="28"/>
          <w:szCs w:val="28"/>
          <w:lang w:val="en-US" w:eastAsia="zh-CN"/>
        </w:rPr>
        <w:t>逐步实现土地竞拍透明化</w:t>
      </w:r>
    </w:p>
    <w:p>
      <w:pPr>
        <w:spacing w:line="560" w:lineRule="exact"/>
        <w:ind w:firstLine="840" w:firstLineChars="3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进一步加强平台对于竞拍人员的信息核实，有条件地向社会公开买卖双方的部分信息，并加强市场监管。</w:t>
      </w:r>
    </w:p>
    <w:p>
      <w:pPr>
        <w:numPr>
          <w:ilvl w:val="0"/>
          <w:numId w:val="0"/>
        </w:numPr>
        <w:spacing w:line="560" w:lineRule="exact"/>
        <w:ind w:leftChars="200"/>
        <w:rPr>
          <w:rFonts w:hint="default" w:ascii="仿宋" w:hAnsi="仿宋" w:eastAsia="仿宋" w:cs="仿宋"/>
          <w:sz w:val="28"/>
          <w:szCs w:val="28"/>
          <w:lang w:val="en-US" w:eastAsia="zh-CN"/>
        </w:rPr>
      </w:pPr>
      <w:bookmarkStart w:id="49" w:name="_GoBack"/>
      <w:bookmarkEnd w:id="49"/>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4" o:spid="_x0000_s4097" o:spt="202" type="#_x0000_t202" style="position:absolute;left:0pt;margin-top:0pt;height:144pt;width:144pt;mso-position-horizontal:center;mso-position-horizontal-relative:margin;mso-wrap-style:none;z-index:2516654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default" w:eastAsiaTheme="minorEastAsia"/>
        <w:lang w:val="en-US" w:eastAsia="zh-CN"/>
      </w:rPr>
    </w:pPr>
    <w:r>
      <w:rPr>
        <w:rFonts w:hint="eastAsia"/>
        <w:lang w:val="en-US" w:eastAsia="zh-CN"/>
      </w:rPr>
      <w:t>南昌市建设用地使用权二级市场系统平台建设项目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7509"/>
    <w:multiLevelType w:val="singleLevel"/>
    <w:tmpl w:val="06037509"/>
    <w:lvl w:ilvl="0" w:tentative="0">
      <w:start w:val="1"/>
      <w:numFmt w:val="decimal"/>
      <w:suff w:val="nothing"/>
      <w:lvlText w:val="（%1）"/>
      <w:lvlJc w:val="left"/>
    </w:lvl>
  </w:abstractNum>
  <w:abstractNum w:abstractNumId="1">
    <w:nsid w:val="5E816BB5"/>
    <w:multiLevelType w:val="singleLevel"/>
    <w:tmpl w:val="5E816BB5"/>
    <w:lvl w:ilvl="0" w:tentative="0">
      <w:start w:val="1"/>
      <w:numFmt w:val="chineseCounting"/>
      <w:suff w:val="nothing"/>
      <w:lvlText w:val="%1、"/>
      <w:lvlJc w:val="left"/>
    </w:lvl>
  </w:abstractNum>
  <w:abstractNum w:abstractNumId="2">
    <w:nsid w:val="5E816BDE"/>
    <w:multiLevelType w:val="singleLevel"/>
    <w:tmpl w:val="5E816BDE"/>
    <w:lvl w:ilvl="0" w:tentative="0">
      <w:start w:val="1"/>
      <w:numFmt w:val="chineseCounting"/>
      <w:suff w:val="nothing"/>
      <w:lvlText w:val="（%1）"/>
      <w:lvlJc w:val="left"/>
    </w:lvl>
  </w:abstractNum>
  <w:abstractNum w:abstractNumId="3">
    <w:nsid w:val="5E816BFB"/>
    <w:multiLevelType w:val="singleLevel"/>
    <w:tmpl w:val="5E816BFB"/>
    <w:lvl w:ilvl="0" w:tentative="0">
      <w:start w:val="1"/>
      <w:numFmt w:val="decimal"/>
      <w:suff w:val="nothing"/>
      <w:lvlText w:val="%1、"/>
      <w:lvlJc w:val="left"/>
    </w:lvl>
  </w:abstractNum>
  <w:abstractNum w:abstractNumId="4">
    <w:nsid w:val="5E816C30"/>
    <w:multiLevelType w:val="singleLevel"/>
    <w:tmpl w:val="5E816C30"/>
    <w:lvl w:ilvl="0" w:tentative="0">
      <w:start w:val="1"/>
      <w:numFmt w:val="decimal"/>
      <w:suff w:val="nothing"/>
      <w:lvlText w:val="%1、"/>
      <w:lvlJc w:val="left"/>
    </w:lvl>
  </w:abstractNum>
  <w:abstractNum w:abstractNumId="5">
    <w:nsid w:val="5E81A8AA"/>
    <w:multiLevelType w:val="singleLevel"/>
    <w:tmpl w:val="5E81A8AA"/>
    <w:lvl w:ilvl="0" w:tentative="0">
      <w:start w:val="1"/>
      <w:numFmt w:val="decimal"/>
      <w:suff w:val="nothing"/>
      <w:lvlText w:val="（%1）"/>
      <w:lvlJc w:val="left"/>
    </w:lvl>
  </w:abstractNum>
  <w:abstractNum w:abstractNumId="6">
    <w:nsid w:val="5E81A9FE"/>
    <w:multiLevelType w:val="singleLevel"/>
    <w:tmpl w:val="5E81A9FE"/>
    <w:lvl w:ilvl="0" w:tentative="0">
      <w:start w:val="5"/>
      <w:numFmt w:val="chineseCounting"/>
      <w:suff w:val="nothing"/>
      <w:lvlText w:val="%1、"/>
      <w:lvlJc w:val="left"/>
    </w:lvl>
  </w:abstractNum>
  <w:abstractNum w:abstractNumId="7">
    <w:nsid w:val="5E81ADC0"/>
    <w:multiLevelType w:val="singleLevel"/>
    <w:tmpl w:val="5E81ADC0"/>
    <w:lvl w:ilvl="0" w:tentative="0">
      <w:start w:val="1"/>
      <w:numFmt w:val="decimal"/>
      <w:suff w:val="nothing"/>
      <w:lvlText w:val="（%1）"/>
      <w:lvlJc w:val="left"/>
    </w:lvl>
  </w:abstractNum>
  <w:abstractNum w:abstractNumId="8">
    <w:nsid w:val="5E828FB2"/>
    <w:multiLevelType w:val="singleLevel"/>
    <w:tmpl w:val="5E828FB2"/>
    <w:lvl w:ilvl="0" w:tentative="0">
      <w:start w:val="2"/>
      <w:numFmt w:val="chineseCounting"/>
      <w:suff w:val="nothing"/>
      <w:lvlText w:val="%1、"/>
      <w:lvlJc w:val="left"/>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2FF71EF"/>
    <w:rsid w:val="000506C7"/>
    <w:rsid w:val="00122CBD"/>
    <w:rsid w:val="0022311B"/>
    <w:rsid w:val="00311A34"/>
    <w:rsid w:val="00532F61"/>
    <w:rsid w:val="00653290"/>
    <w:rsid w:val="00700DF0"/>
    <w:rsid w:val="00700FF9"/>
    <w:rsid w:val="009E687C"/>
    <w:rsid w:val="00A06CA7"/>
    <w:rsid w:val="00A66D6A"/>
    <w:rsid w:val="00CB6119"/>
    <w:rsid w:val="00F96A0D"/>
    <w:rsid w:val="039B4F1E"/>
    <w:rsid w:val="0D2A4492"/>
    <w:rsid w:val="1CA82384"/>
    <w:rsid w:val="1CE4618D"/>
    <w:rsid w:val="1F707BC7"/>
    <w:rsid w:val="267211C6"/>
    <w:rsid w:val="2D482926"/>
    <w:rsid w:val="32FF71EF"/>
    <w:rsid w:val="36560ACC"/>
    <w:rsid w:val="3742714A"/>
    <w:rsid w:val="37535C53"/>
    <w:rsid w:val="37691FF5"/>
    <w:rsid w:val="3A0E5ACB"/>
    <w:rsid w:val="3AFA69CE"/>
    <w:rsid w:val="3F4E355C"/>
    <w:rsid w:val="3FA5263B"/>
    <w:rsid w:val="4A4D60B4"/>
    <w:rsid w:val="511A1F61"/>
    <w:rsid w:val="55257F3D"/>
    <w:rsid w:val="5BE239E0"/>
    <w:rsid w:val="5D2427DD"/>
    <w:rsid w:val="63557422"/>
    <w:rsid w:val="69D4116B"/>
    <w:rsid w:val="6E3147D9"/>
    <w:rsid w:val="6EC86C4D"/>
    <w:rsid w:val="71D378C7"/>
    <w:rsid w:val="73D4559A"/>
    <w:rsid w:val="73D63154"/>
    <w:rsid w:val="77A0563A"/>
    <w:rsid w:val="78786C5C"/>
    <w:rsid w:val="7C6D72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Lines="50" w:line="480" w:lineRule="auto"/>
      <w:outlineLvl w:val="0"/>
    </w:pPr>
    <w:rPr>
      <w:rFonts w:ascii="仿宋_GB2312" w:hAnsi="仿宋_GB2312" w:eastAsia="仿宋_GB2312" w:cs="Times New Roman"/>
      <w:b/>
      <w:kern w:val="44"/>
      <w:sz w:val="44"/>
      <w:szCs w:val="32"/>
    </w:rPr>
  </w:style>
  <w:style w:type="paragraph" w:styleId="3">
    <w:name w:val="heading 2"/>
    <w:basedOn w:val="1"/>
    <w:next w:val="1"/>
    <w:unhideWhenUsed/>
    <w:qFormat/>
    <w:uiPriority w:val="0"/>
    <w:pPr>
      <w:keepNext/>
      <w:keepLines/>
      <w:spacing w:beforeLines="50" w:line="360" w:lineRule="auto"/>
      <w:outlineLvl w:val="1"/>
    </w:pPr>
    <w:rPr>
      <w:rFonts w:ascii="仿宋_GB2312" w:hAnsi="仿宋_GB2312" w:eastAsia="仿宋_GB2312" w:cs="Times New Roman"/>
      <w:b/>
      <w:sz w:val="36"/>
      <w:szCs w:val="30"/>
    </w:rPr>
  </w:style>
  <w:style w:type="paragraph" w:styleId="4">
    <w:name w:val="heading 3"/>
    <w:basedOn w:val="1"/>
    <w:next w:val="1"/>
    <w:unhideWhenUsed/>
    <w:qFormat/>
    <w:uiPriority w:val="0"/>
    <w:pPr>
      <w:keepNext/>
      <w:keepLines/>
      <w:spacing w:beforeLines="50" w:line="360" w:lineRule="auto"/>
      <w:outlineLvl w:val="2"/>
    </w:pPr>
    <w:rPr>
      <w:rFonts w:ascii="仿宋_GB2312" w:hAnsi="仿宋_GB2312" w:eastAsia="仿宋_GB2312" w:cs="Times New Roman"/>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2520" w:leftChars="1200"/>
    </w:pPr>
  </w:style>
  <w:style w:type="paragraph" w:styleId="6">
    <w:name w:val="toc 5"/>
    <w:basedOn w:val="1"/>
    <w:next w:val="1"/>
    <w:qFormat/>
    <w:uiPriority w:val="0"/>
    <w:pPr>
      <w:ind w:left="1680" w:leftChars="800"/>
    </w:pPr>
  </w:style>
  <w:style w:type="paragraph" w:styleId="7">
    <w:name w:val="toc 3"/>
    <w:basedOn w:val="1"/>
    <w:next w:val="1"/>
    <w:qFormat/>
    <w:uiPriority w:val="0"/>
    <w:pPr>
      <w:ind w:left="840" w:leftChars="400"/>
    </w:pPr>
  </w:style>
  <w:style w:type="paragraph" w:styleId="8">
    <w:name w:val="toc 8"/>
    <w:basedOn w:val="1"/>
    <w:next w:val="1"/>
    <w:qFormat/>
    <w:uiPriority w:val="0"/>
    <w:pPr>
      <w:ind w:left="2940" w:leftChars="140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toc 4"/>
    <w:basedOn w:val="1"/>
    <w:next w:val="1"/>
    <w:qFormat/>
    <w:uiPriority w:val="0"/>
    <w:pPr>
      <w:ind w:left="1260" w:leftChars="600"/>
    </w:pPr>
  </w:style>
  <w:style w:type="paragraph" w:styleId="13">
    <w:name w:val="Subtitle"/>
    <w:basedOn w:val="1"/>
    <w:next w:val="1"/>
    <w:qFormat/>
    <w:uiPriority w:val="0"/>
    <w:pPr>
      <w:spacing w:line="312" w:lineRule="auto"/>
      <w:ind w:firstLine="200" w:firstLineChars="200"/>
      <w:jc w:val="left"/>
      <w:outlineLvl w:val="1"/>
    </w:pPr>
    <w:rPr>
      <w:rFonts w:ascii="Cambria" w:hAnsi="Cambria" w:eastAsia="仿宋" w:cs="Times New Roman"/>
      <w:b/>
      <w:bCs/>
      <w:kern w:val="28"/>
      <w:sz w:val="32"/>
      <w:szCs w:val="32"/>
    </w:rPr>
  </w:style>
  <w:style w:type="paragraph" w:styleId="14">
    <w:name w:val="toc 6"/>
    <w:basedOn w:val="1"/>
    <w:next w:val="1"/>
    <w:qFormat/>
    <w:uiPriority w:val="0"/>
    <w:pPr>
      <w:ind w:left="2100" w:leftChars="1000"/>
    </w:pPr>
  </w:style>
  <w:style w:type="paragraph" w:styleId="15">
    <w:name w:val="toc 2"/>
    <w:basedOn w:val="1"/>
    <w:next w:val="1"/>
    <w:qFormat/>
    <w:uiPriority w:val="0"/>
    <w:pPr>
      <w:ind w:left="420" w:leftChars="200"/>
    </w:pPr>
  </w:style>
  <w:style w:type="paragraph" w:styleId="16">
    <w:name w:val="toc 9"/>
    <w:basedOn w:val="1"/>
    <w:next w:val="1"/>
    <w:qFormat/>
    <w:uiPriority w:val="0"/>
    <w:pPr>
      <w:ind w:left="3360" w:leftChars="1600"/>
    </w:pPr>
  </w:style>
  <w:style w:type="paragraph" w:styleId="17">
    <w:name w:val="Title"/>
    <w:basedOn w:val="1"/>
    <w:next w:val="1"/>
    <w:qFormat/>
    <w:uiPriority w:val="0"/>
    <w:pPr>
      <w:spacing w:before="240" w:after="60"/>
      <w:jc w:val="left"/>
      <w:outlineLvl w:val="0"/>
    </w:pPr>
    <w:rPr>
      <w:rFonts w:ascii="Cambria" w:hAnsi="Cambria" w:eastAsia="黑体" w:cs="Times New Roman"/>
      <w:b/>
      <w:bCs/>
      <w:sz w:val="32"/>
      <w:szCs w:val="32"/>
    </w:rPr>
  </w:style>
  <w:style w:type="paragraph" w:customStyle="1" w:styleId="20">
    <w:name w:val="列出段落11"/>
    <w:basedOn w:val="1"/>
    <w:qFormat/>
    <w:uiPriority w:val="99"/>
    <w:pPr>
      <w:spacing w:line="560" w:lineRule="exact"/>
      <w:ind w:firstLine="420" w:firstLineChars="200"/>
    </w:pPr>
    <w:rPr>
      <w:rFonts w:ascii="仿宋_GB2312" w:hAnsi="仿宋_GB2312" w:eastAsia="仿宋_GB2312" w:cs="Times New Roman"/>
      <w:sz w:val="32"/>
      <w:szCs w:val="32"/>
    </w:rPr>
  </w:style>
  <w:style w:type="paragraph" w:customStyle="1" w:styleId="21">
    <w:name w:val="缩进"/>
    <w:basedOn w:val="1"/>
    <w:qFormat/>
    <w:uiPriority w:val="0"/>
    <w:pPr>
      <w:spacing w:line="560" w:lineRule="exact"/>
      <w:ind w:firstLine="200" w:firstLineChars="200"/>
    </w:pPr>
    <w:rPr>
      <w:rFonts w:ascii="仿宋_GB2312" w:hAnsi="仿宋_GB2312" w:eastAsia="仿宋_GB2312" w:cs="Times New Roman"/>
      <w:sz w:val="32"/>
      <w:szCs w:val="32"/>
    </w:rPr>
  </w:style>
  <w:style w:type="paragraph" w:customStyle="1" w:styleId="22">
    <w:name w:val="图"/>
    <w:basedOn w:val="1"/>
    <w:next w:val="1"/>
    <w:qFormat/>
    <w:uiPriority w:val="0"/>
    <w:pPr>
      <w:jc w:val="center"/>
    </w:pPr>
    <w:rPr>
      <w:rFonts w:cs="仿宋_GB231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1032</Words>
  <Characters>5886</Characters>
  <Lines>49</Lines>
  <Paragraphs>13</Paragraphs>
  <TotalTime>1</TotalTime>
  <ScaleCrop>false</ScaleCrop>
  <LinksUpToDate>false</LinksUpToDate>
  <CharactersWithSpaces>6905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2019-04-11T03:32:00Z</dcterms:created>
  <dc:creator>lenove</dc:creator>
  <cp:lastModifiedBy>璐</cp:lastModifiedBy>
  <cp:lastPrinted>2020-04-17T03:31:00Z</cp:lastPrinted>
  <dcterms:modified xsi:type="dcterms:W3CDTF">2020-06-19T02:37:39Z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