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宋体" w:eastAsia="黑体" w:cs="Arial"/>
          <w:bCs/>
          <w:sz w:val="32"/>
          <w:szCs w:val="32"/>
        </w:rPr>
      </w:pPr>
      <w:bookmarkStart w:id="0" w:name="_Toc22609"/>
      <w:bookmarkStart w:id="1" w:name="_Toc510967945"/>
      <w:bookmarkStart w:id="2" w:name="_Toc510969565"/>
      <w:bookmarkStart w:id="3" w:name="_Toc510967583"/>
      <w:bookmarkStart w:id="4" w:name="_Toc510967775"/>
      <w:bookmarkStart w:id="5" w:name="_Toc510968174"/>
      <w:r>
        <w:rPr>
          <w:rFonts w:hint="eastAsia" w:ascii="仿宋" w:hAnsi="仿宋" w:eastAsia="仿宋" w:cs="仿宋"/>
          <w:lang w:val="en-US" w:eastAsia="zh-CN"/>
        </w:rPr>
        <w:t xml:space="preserve"> </w:t>
      </w:r>
      <w:r>
        <w:rPr>
          <w:rFonts w:hint="eastAsia" w:ascii="黑体" w:hAnsi="宋体" w:eastAsia="黑体" w:cs="Arial"/>
          <w:bCs/>
          <w:sz w:val="32"/>
          <w:szCs w:val="32"/>
        </w:rPr>
        <w:t>附件4：</w:t>
      </w:r>
    </w:p>
    <w:p>
      <w:pPr>
        <w:jc w:val="center"/>
        <w:rPr>
          <w:rFonts w:hint="eastAsia" w:ascii="黑体" w:hAnsi="宋体" w:eastAsia="黑体" w:cs="Arial"/>
          <w:bCs/>
          <w:sz w:val="32"/>
          <w:szCs w:val="32"/>
        </w:rPr>
      </w:pPr>
      <w:r>
        <w:rPr>
          <w:rFonts w:hint="eastAsia" w:ascii="方正小标宋简体" w:hAnsi="宋体" w:eastAsia="方正小标宋简体" w:cs="Arial"/>
          <w:bCs/>
          <w:sz w:val="44"/>
          <w:szCs w:val="44"/>
          <w:lang w:eastAsia="zh-CN"/>
        </w:rPr>
        <w:t>南昌市“国土资源云”项目（二期）</w:t>
      </w:r>
      <w:r>
        <w:rPr>
          <w:rFonts w:hint="eastAsia" w:ascii="方正小标宋简体" w:hAnsi="宋体" w:eastAsia="方正小标宋简体" w:cs="Arial"/>
          <w:bCs/>
          <w:sz w:val="44"/>
          <w:szCs w:val="44"/>
        </w:rPr>
        <w:t>支出绩效</w:t>
      </w:r>
      <w:r>
        <w:rPr>
          <w:rFonts w:hint="eastAsia" w:ascii="方正小标宋简体" w:hAnsi="宋体" w:eastAsia="方正小标宋简体" w:cs="Arial"/>
          <w:bCs/>
          <w:sz w:val="44"/>
          <w:szCs w:val="44"/>
          <w:lang w:eastAsia="zh-CN"/>
        </w:rPr>
        <w:t>自评</w:t>
      </w:r>
      <w:r>
        <w:rPr>
          <w:rFonts w:hint="eastAsia" w:ascii="方正小标宋简体" w:hAnsi="宋体" w:eastAsia="方正小标宋简体" w:cs="Arial"/>
          <w:bCs/>
          <w:sz w:val="44"/>
          <w:szCs w:val="44"/>
        </w:rPr>
        <w:t>报告</w:t>
      </w:r>
    </w:p>
    <w:p>
      <w:pPr>
        <w:rPr>
          <w:rFonts w:hint="eastAsia" w:ascii="黑体" w:hAnsi="宋体" w:eastAsia="黑体" w:cs="Arial"/>
          <w:bCs/>
          <w:sz w:val="32"/>
          <w:szCs w:val="32"/>
        </w:rPr>
      </w:pPr>
    </w:p>
    <w:p>
      <w:pPr>
        <w:spacing w:line="600" w:lineRule="exact"/>
        <w:ind w:left="0" w:leftChars="0" w:firstLine="0" w:firstLineChars="0"/>
        <w:rPr>
          <w:rFonts w:hint="default" w:ascii="黑体" w:hAnsi="黑体" w:eastAsia="黑体" w:cs="黑体"/>
          <w:bCs/>
          <w:sz w:val="32"/>
          <w:szCs w:val="32"/>
          <w:u w:val="single"/>
          <w:lang w:val="en-US"/>
        </w:rPr>
      </w:pPr>
      <w:r>
        <w:rPr>
          <w:rFonts w:hint="eastAsia" w:ascii="黑体" w:hAnsi="宋体" w:eastAsia="黑体" w:cs="Arial"/>
          <w:bCs/>
          <w:sz w:val="32"/>
          <w:szCs w:val="32"/>
        </w:rPr>
        <w:t>项目名称：</w:t>
      </w:r>
      <w:r>
        <w:rPr>
          <w:rFonts w:hint="eastAsia" w:ascii="黑体" w:hAnsi="宋体" w:eastAsia="黑体" w:cs="Arial"/>
          <w:bCs/>
          <w:sz w:val="32"/>
          <w:szCs w:val="32"/>
          <w:u w:val="single"/>
          <w:lang w:val="en-US" w:eastAsia="zh-CN"/>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lang w:eastAsia="zh-CN"/>
        </w:rPr>
        <w:t>南昌市“国土资源云”项目（二期）</w:t>
      </w:r>
      <w:r>
        <w:rPr>
          <w:rFonts w:hint="eastAsia" w:ascii="黑体" w:hAnsi="黑体" w:eastAsia="黑体" w:cs="黑体"/>
          <w:bCs/>
          <w:sz w:val="32"/>
          <w:szCs w:val="32"/>
          <w:u w:val="single"/>
          <w:lang w:val="en-US" w:eastAsia="zh-CN"/>
        </w:rPr>
        <w:t xml:space="preserve"> </w:t>
      </w:r>
      <w:r>
        <w:rPr>
          <w:rFonts w:hint="eastAsia" w:ascii="方正小标宋简体" w:hAnsi="宋体" w:eastAsia="方正小标宋简体" w:cs="Arial"/>
          <w:bCs/>
          <w:sz w:val="44"/>
          <w:szCs w:val="44"/>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default" w:ascii="黑体" w:hAnsi="宋体" w:eastAsia="黑体" w:cs="Arial"/>
          <w:bCs/>
          <w:sz w:val="32"/>
          <w:szCs w:val="32"/>
          <w:u w:val="single"/>
          <w:lang w:val="en-US" w:eastAsia="zh-CN"/>
        </w:rPr>
      </w:pPr>
      <w:r>
        <w:rPr>
          <w:rFonts w:hint="eastAsia" w:ascii="黑体" w:hAnsi="宋体" w:eastAsia="黑体" w:cs="Arial"/>
          <w:bCs/>
          <w:sz w:val="32"/>
          <w:szCs w:val="32"/>
        </w:rPr>
        <w:t>项目类别：</w:t>
      </w:r>
      <w:r>
        <w:rPr>
          <w:rFonts w:hint="eastAsia" w:ascii="黑体" w:hAnsi="宋体" w:eastAsia="黑体" w:cs="Arial"/>
          <w:bCs/>
          <w:sz w:val="32"/>
          <w:szCs w:val="32"/>
          <w:u w:val="single"/>
          <w:lang w:val="en-US" w:eastAsia="zh-CN"/>
        </w:rPr>
        <w:t xml:space="preserve">        其他</w:t>
      </w:r>
      <w:r>
        <w:rPr>
          <w:rFonts w:hint="eastAsia" w:ascii="黑体" w:hAnsi="黑体" w:eastAsia="黑体" w:cs="黑体"/>
          <w:bCs/>
          <w:sz w:val="32"/>
          <w:szCs w:val="32"/>
          <w:u w:val="single"/>
        </w:rPr>
        <w:t>类</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default" w:ascii="黑体" w:hAnsi="宋体" w:eastAsia="黑体" w:cs="Arial"/>
          <w:bCs/>
          <w:sz w:val="32"/>
          <w:szCs w:val="32"/>
          <w:u w:val="single"/>
          <w:lang w:val="en-US" w:eastAsia="zh-CN"/>
        </w:rPr>
      </w:pPr>
      <w:r>
        <w:rPr>
          <w:rFonts w:hint="eastAsia" w:ascii="黑体" w:hAnsi="宋体" w:eastAsia="黑体" w:cs="Arial"/>
          <w:bCs/>
          <w:sz w:val="32"/>
          <w:szCs w:val="32"/>
        </w:rPr>
        <w:t>实施单位：</w:t>
      </w:r>
      <w:r>
        <w:rPr>
          <w:rFonts w:hint="eastAsia" w:ascii="黑体" w:hAnsi="宋体" w:eastAsia="黑体" w:cs="Arial"/>
          <w:bCs/>
          <w:sz w:val="32"/>
          <w:szCs w:val="32"/>
          <w:u w:val="single"/>
          <w:lang w:val="en-US" w:eastAsia="zh-CN"/>
        </w:rPr>
        <w:t xml:space="preserve">    南昌市国土资源档案信息中心              </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eastAsia" w:ascii="黑体" w:hAnsi="宋体" w:eastAsia="黑体" w:cs="Arial"/>
          <w:bCs/>
          <w:sz w:val="32"/>
          <w:szCs w:val="32"/>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lang w:eastAsia="zh-CN"/>
        </w:rPr>
        <w:t>南昌市自然资源局</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rPr>
        <w:t xml:space="preserve">     （盖章）</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eastAsia" w:ascii="黑体" w:hAnsi="宋体" w:eastAsia="黑体" w:cs="Arial"/>
          <w:bCs/>
          <w:sz w:val="32"/>
          <w:szCs w:val="32"/>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rPr>
        <w:t>（盖章）</w:t>
      </w:r>
    </w:p>
    <w:p>
      <w:pPr>
        <w:spacing w:line="600" w:lineRule="exact"/>
        <w:rPr>
          <w:rFonts w:hint="eastAsia" w:ascii="黑体" w:hAnsi="宋体" w:eastAsia="黑体" w:cs="Arial"/>
          <w:bCs/>
          <w:sz w:val="32"/>
          <w:szCs w:val="32"/>
        </w:rPr>
      </w:pPr>
    </w:p>
    <w:p>
      <w:pPr>
        <w:spacing w:line="600" w:lineRule="exact"/>
        <w:ind w:left="0" w:leftChars="0" w:firstLine="0" w:firstLineChars="0"/>
        <w:rPr>
          <w:rFonts w:hint="eastAsia"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2019年</w:t>
      </w:r>
      <w:r>
        <w:rPr>
          <w:rFonts w:hint="eastAsia" w:ascii="黑体" w:hAnsi="黑体" w:eastAsia="黑体" w:cs="黑体"/>
          <w:bCs/>
          <w:sz w:val="32"/>
          <w:szCs w:val="32"/>
          <w:u w:val="single"/>
        </w:rPr>
        <w:t xml:space="preserve">                      </w:t>
      </w:r>
    </w:p>
    <w:p>
      <w:pPr>
        <w:rPr>
          <w:rFonts w:hint="eastAsia" w:ascii="黑体" w:hAnsi="宋体" w:eastAsia="黑体" w:cs="Arial"/>
          <w:bCs/>
          <w:sz w:val="32"/>
          <w:szCs w:val="32"/>
        </w:rPr>
      </w:pPr>
    </w:p>
    <w:p>
      <w:pPr>
        <w:jc w:val="center"/>
        <w:rPr>
          <w:rFonts w:hint="eastAsia" w:ascii="黑体" w:hAnsi="宋体" w:eastAsia="黑体" w:cs="Arial"/>
          <w:bCs/>
          <w:sz w:val="32"/>
          <w:szCs w:val="32"/>
        </w:rPr>
      </w:pPr>
    </w:p>
    <w:p>
      <w:pPr>
        <w:jc w:val="center"/>
        <w:rPr>
          <w:rFonts w:hint="eastAsia" w:ascii="黑体" w:hAnsi="宋体" w:eastAsia="黑体" w:cs="Arial"/>
          <w:bCs/>
          <w:sz w:val="32"/>
          <w:szCs w:val="32"/>
        </w:rPr>
      </w:pPr>
    </w:p>
    <w:p>
      <w:pPr>
        <w:jc w:val="center"/>
        <w:rPr>
          <w:rFonts w:hint="eastAsia" w:ascii="黑体" w:hAnsi="宋体" w:eastAsia="黑体" w:cs="Arial"/>
          <w:bCs/>
          <w:sz w:val="32"/>
          <w:szCs w:val="32"/>
        </w:rPr>
      </w:pPr>
      <w:r>
        <w:rPr>
          <w:rFonts w:hint="eastAsia" w:ascii="黑体" w:hAnsi="宋体" w:eastAsia="黑体" w:cs="Arial"/>
          <w:bCs/>
          <w:sz w:val="32"/>
          <w:szCs w:val="32"/>
          <w:lang w:val="en-US" w:eastAsia="zh-CN"/>
        </w:rPr>
        <w:t>2020</w:t>
      </w:r>
      <w:r>
        <w:rPr>
          <w:rFonts w:hint="eastAsia" w:ascii="黑体" w:hAnsi="宋体" w:eastAsia="黑体" w:cs="Arial"/>
          <w:bCs/>
          <w:sz w:val="32"/>
          <w:szCs w:val="32"/>
        </w:rPr>
        <w:t xml:space="preserve">年 </w:t>
      </w:r>
      <w:r>
        <w:rPr>
          <w:rFonts w:hint="eastAsia" w:ascii="黑体" w:hAnsi="宋体" w:eastAsia="黑体" w:cs="Arial"/>
          <w:bCs/>
          <w:sz w:val="32"/>
          <w:szCs w:val="32"/>
          <w:lang w:val="en-US" w:eastAsia="zh-CN"/>
        </w:rPr>
        <w:t>4</w:t>
      </w:r>
      <w:r>
        <w:rPr>
          <w:rFonts w:hint="eastAsia" w:ascii="黑体" w:hAnsi="宋体" w:eastAsia="黑体" w:cs="Arial"/>
          <w:bCs/>
          <w:sz w:val="32"/>
          <w:szCs w:val="32"/>
        </w:rPr>
        <w:t xml:space="preserve">  月 </w:t>
      </w:r>
      <w:r>
        <w:rPr>
          <w:rFonts w:hint="eastAsia" w:ascii="黑体" w:hAnsi="宋体" w:eastAsia="黑体" w:cs="Arial"/>
          <w:bCs/>
          <w:sz w:val="32"/>
          <w:szCs w:val="32"/>
          <w:lang w:val="en-US" w:eastAsia="zh-CN"/>
        </w:rPr>
        <w:t>13</w:t>
      </w:r>
      <w:r>
        <w:rPr>
          <w:rFonts w:hint="eastAsia" w:ascii="黑体" w:hAnsi="宋体" w:eastAsia="黑体" w:cs="Arial"/>
          <w:bCs/>
          <w:sz w:val="32"/>
          <w:szCs w:val="32"/>
        </w:rPr>
        <w:t>日</w:t>
      </w:r>
    </w:p>
    <w:p>
      <w:pPr>
        <w:jc w:val="center"/>
        <w:rPr>
          <w:rFonts w:hint="eastAsia" w:ascii="黑体" w:hAnsi="宋体" w:eastAsia="黑体" w:cs="Arial"/>
          <w:bCs/>
          <w:sz w:val="32"/>
          <w:szCs w:val="32"/>
        </w:rPr>
      </w:pPr>
    </w:p>
    <w:p>
      <w:pPr>
        <w:pStyle w:val="2"/>
        <w:jc w:val="both"/>
        <w:rPr>
          <w:rFonts w:hint="eastAsia" w:ascii="仿宋" w:hAnsi="仿宋" w:eastAsia="仿宋" w:cs="仿宋"/>
          <w:lang w:val="en-US" w:eastAsia="zh-CN"/>
        </w:rPr>
      </w:pPr>
    </w:p>
    <w:bookmarkEnd w:id="0"/>
    <w:p>
      <w:pPr>
        <w:pStyle w:val="2"/>
        <w:rPr>
          <w:rFonts w:ascii="仿宋" w:hAnsi="仿宋" w:eastAsia="仿宋" w:cs="仿宋"/>
        </w:rPr>
      </w:pPr>
      <w:bookmarkStart w:id="6" w:name="_Toc12571"/>
      <w:r>
        <w:rPr>
          <w:rFonts w:hint="eastAsia" w:ascii="仿宋" w:hAnsi="仿宋" w:eastAsia="仿宋" w:cs="仿宋"/>
        </w:rPr>
        <w:t>南昌市“国土资源云”建设工程项目（二期）项目绩效自评报告</w:t>
      </w:r>
      <w:bookmarkEnd w:id="1"/>
      <w:bookmarkEnd w:id="2"/>
      <w:bookmarkEnd w:id="3"/>
      <w:bookmarkEnd w:id="4"/>
      <w:bookmarkEnd w:id="5"/>
      <w:bookmarkEnd w:id="6"/>
    </w:p>
    <w:p>
      <w:pPr>
        <w:ind w:firstLine="0" w:firstLineChars="0"/>
        <w:rPr>
          <w:rFonts w:ascii="仿宋" w:hAnsi="仿宋" w:cs="仿宋"/>
          <w:color w:val="FF0000"/>
        </w:rPr>
      </w:pPr>
    </w:p>
    <w:p>
      <w:pPr>
        <w:widowControl/>
        <w:spacing w:before="156" w:after="156" w:line="540" w:lineRule="atLeast"/>
        <w:jc w:val="left"/>
        <w:rPr>
          <w:rFonts w:ascii="仿宋" w:hAnsi="仿宋"/>
          <w:color w:val="000000" w:themeColor="text1"/>
          <w:szCs w:val="28"/>
        </w:rPr>
      </w:pPr>
      <w:r>
        <w:rPr>
          <w:rFonts w:hint="eastAsia" w:ascii="仿宋" w:hAnsi="仿宋"/>
          <w:color w:val="000000" w:themeColor="text1"/>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rPr>
          <w:rFonts w:ascii="仿宋" w:hAnsi="仿宋"/>
          <w:color w:val="000000" w:themeColor="text1"/>
          <w:szCs w:val="28"/>
        </w:rPr>
      </w:pPr>
      <w:r>
        <w:rPr>
          <w:rFonts w:hint="eastAsia"/>
          <w:color w:val="000000" w:themeColor="text1"/>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2019年度市级部门财政项目支出绩效评价工作的通知》（洪财办[2020]10号）等文件的要求，对</w:t>
      </w:r>
      <w:r>
        <w:rPr>
          <w:rFonts w:hint="eastAsia" w:ascii="仿宋" w:hAnsi="仿宋" w:cs="仿宋"/>
          <w:color w:val="000000" w:themeColor="text1"/>
        </w:rPr>
        <w:t>南昌市“国土资源云”建设工程项目（二期）项目</w:t>
      </w:r>
      <w:r>
        <w:rPr>
          <w:rFonts w:hint="eastAsia"/>
          <w:color w:val="000000" w:themeColor="text1"/>
        </w:rPr>
        <w:t>开展绩效</w:t>
      </w:r>
      <w:r>
        <w:rPr>
          <w:rFonts w:hint="eastAsia"/>
          <w:color w:val="000000" w:themeColor="text1"/>
          <w:lang w:eastAsia="zh-CN"/>
        </w:rPr>
        <w:t>评价</w:t>
      </w:r>
      <w:r>
        <w:rPr>
          <w:rFonts w:hint="eastAsia"/>
          <w:color w:val="000000" w:themeColor="text1"/>
        </w:rPr>
        <w:t>工作。现将评价情况报告如下：</w:t>
      </w:r>
    </w:p>
    <w:p>
      <w:pPr>
        <w:pStyle w:val="3"/>
        <w:spacing w:before="156" w:after="156"/>
        <w:rPr>
          <w:color w:val="000000" w:themeColor="text1"/>
        </w:rPr>
      </w:pPr>
      <w:bookmarkStart w:id="7" w:name="_Toc510969567"/>
      <w:r>
        <w:rPr>
          <w:rFonts w:hint="eastAsia"/>
          <w:color w:val="000000" w:themeColor="text1"/>
        </w:rPr>
        <w:t>一、项目基本情况</w:t>
      </w:r>
      <w:bookmarkEnd w:id="7"/>
    </w:p>
    <w:p>
      <w:pPr>
        <w:pStyle w:val="4"/>
        <w:ind w:firstLine="0" w:firstLineChars="0"/>
        <w:rPr>
          <w:color w:val="000000" w:themeColor="text1"/>
        </w:rPr>
      </w:pPr>
      <w:bookmarkStart w:id="8" w:name="_Toc510969568"/>
      <w:r>
        <w:rPr>
          <w:rFonts w:hint="eastAsia"/>
          <w:color w:val="000000" w:themeColor="text1"/>
        </w:rPr>
        <w:t>（一）项目概况</w:t>
      </w:r>
      <w:bookmarkEnd w:id="8"/>
    </w:p>
    <w:p>
      <w:pPr>
        <w:ind w:firstLine="562"/>
        <w:rPr>
          <w:b/>
          <w:color w:val="000000" w:themeColor="text1"/>
        </w:rPr>
      </w:pPr>
      <w:r>
        <w:rPr>
          <w:rFonts w:hint="eastAsia"/>
          <w:b/>
          <w:color w:val="000000" w:themeColor="text1"/>
        </w:rPr>
        <w:t>1、立项背景</w:t>
      </w:r>
    </w:p>
    <w:p>
      <w:pPr>
        <w:ind w:firstLine="600"/>
        <w:rPr>
          <w:rFonts w:hint="eastAsia"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该项目性质为延续项目。</w:t>
      </w:r>
    </w:p>
    <w:p>
      <w:pPr>
        <w:ind w:firstLine="600"/>
        <w:rPr>
          <w:rFonts w:ascii="宋体" w:hAnsi="宋体"/>
          <w:sz w:val="28"/>
          <w:szCs w:val="28"/>
        </w:rPr>
      </w:pPr>
      <w:r>
        <w:rPr>
          <w:rFonts w:hint="eastAsia" w:ascii="宋体" w:hAnsi="宋体"/>
          <w:sz w:val="28"/>
          <w:szCs w:val="28"/>
          <w:lang w:val="en-US" w:eastAsia="zh-CN"/>
        </w:rPr>
        <w:t>自然</w:t>
      </w:r>
      <w:r>
        <w:rPr>
          <w:rFonts w:hint="eastAsia" w:ascii="宋体" w:hAnsi="宋体"/>
          <w:sz w:val="28"/>
          <w:szCs w:val="28"/>
        </w:rPr>
        <w:t>资源信息不全、不实、不准已经成为制约全面科学判断国土资源形势与宏观经济形势的最大难题。为进一步促进国土资源的节约利用和综合利用，合理配置资源，支持政府决策，急需对现有的各类国土资源信息进行科学的信息化管理和应用，准确掌握批而未征、征而未供、供而未用、用而未尽的土地，尽可能减少耕地占用，实现全业务网上审批和在线服务，将行政权力在公开透明的网络上运行，依法规范管理，为社会提供方便快捷的信息与服务，推进政务公开和廉政建设，提升国土资源信息共享水平和社会化服务水平。</w:t>
      </w:r>
      <w:r>
        <w:rPr>
          <w:rFonts w:ascii="宋体" w:hAnsi="宋体"/>
          <w:sz w:val="28"/>
          <w:szCs w:val="28"/>
        </w:rPr>
        <w:t xml:space="preserve"> </w:t>
      </w:r>
    </w:p>
    <w:p>
      <w:pPr>
        <w:ind w:firstLine="600"/>
        <w:rPr>
          <w:b/>
          <w:color w:val="000000" w:themeColor="text1"/>
        </w:rPr>
      </w:pPr>
      <w:r>
        <w:rPr>
          <w:rFonts w:hint="eastAsia" w:ascii="仿宋" w:hAnsi="仿宋" w:eastAsia="仿宋" w:cs="仿宋"/>
          <w:bCs/>
          <w:color w:val="000000" w:themeColor="text1"/>
          <w:kern w:val="0"/>
          <w:sz w:val="28"/>
          <w:szCs w:val="28"/>
        </w:rPr>
        <w:t>根据南昌市发改委《关于“国土资源云”建设工程项目建议书的批复》（洪发改区字〔2017〕6号）、《南昌市行政审批局关于批复南昌市“国土资源云”建设工程项目初步设计及概算审查的函》（洪行审投字〔2018〕40号）和《南昌市人民政府关于印发2019年南昌市重大重点项目投资计划的通知》</w:t>
      </w:r>
      <w:r>
        <w:rPr>
          <w:rFonts w:hint="eastAsia" w:ascii="仿宋" w:hAnsi="仿宋" w:eastAsia="仿宋" w:cs="仿宋"/>
          <w:color w:val="000000" w:themeColor="text1"/>
          <w:sz w:val="28"/>
          <w:szCs w:val="28"/>
        </w:rPr>
        <w:t>（洪府发</w:t>
      </w:r>
      <w:r>
        <w:rPr>
          <w:rFonts w:hint="eastAsia" w:ascii="仿宋" w:hAnsi="仿宋" w:eastAsia="仿宋" w:cs="仿宋"/>
          <w:bCs/>
          <w:color w:val="000000" w:themeColor="text1"/>
          <w:kern w:val="0"/>
          <w:sz w:val="28"/>
          <w:szCs w:val="28"/>
        </w:rPr>
        <w:t>〔2019〕</w:t>
      </w:r>
      <w:r>
        <w:rPr>
          <w:rFonts w:hint="eastAsia" w:ascii="仿宋" w:hAnsi="仿宋" w:eastAsia="仿宋" w:cs="仿宋"/>
          <w:color w:val="000000" w:themeColor="text1"/>
          <w:sz w:val="28"/>
          <w:szCs w:val="28"/>
        </w:rPr>
        <w:t>17号）文件精神，对南昌市“国土资源云”建设工程项目（二期）项目纳入政府集中采购，所需经费在财政预</w:t>
      </w:r>
      <w:r>
        <w:rPr>
          <w:rFonts w:hint="eastAsia"/>
          <w:color w:val="000000" w:themeColor="text1"/>
        </w:rPr>
        <w:t>算安排的市重大重点项目资金中列支。</w:t>
      </w:r>
    </w:p>
    <w:p>
      <w:pPr>
        <w:pStyle w:val="4"/>
        <w:numPr>
          <w:ilvl w:val="0"/>
          <w:numId w:val="1"/>
        </w:numPr>
        <w:ind w:firstLine="562"/>
        <w:rPr>
          <w:color w:val="000000" w:themeColor="text1"/>
        </w:rPr>
      </w:pPr>
      <w:r>
        <w:rPr>
          <w:rFonts w:hint="eastAsia"/>
          <w:color w:val="000000" w:themeColor="text1"/>
        </w:rPr>
        <w:t>立项目的</w:t>
      </w:r>
    </w:p>
    <w:p>
      <w:pPr>
        <w:rPr>
          <w:rFonts w:ascii="宋体" w:hAnsi="宋体"/>
          <w:color w:val="000000" w:themeColor="text1"/>
          <w:szCs w:val="28"/>
        </w:rPr>
      </w:pPr>
      <w:r>
        <w:rPr>
          <w:rFonts w:hint="eastAsia" w:ascii="宋体" w:hAnsi="宋体"/>
          <w:color w:val="000000" w:themeColor="text1"/>
          <w:szCs w:val="28"/>
        </w:rPr>
        <w:t>通过南昌“国土资源云”建设，实现南昌市自然资源业务的全业务网上运行、全方位决策支持、全数据共享交换、全网上公开服务、全系统信息安全，最终建设成为建立一套标准体系、一个综合管理服务云平台、建设一个国土资源大数据中心、实现全业务应用管理、提供N类云服务。</w:t>
      </w:r>
    </w:p>
    <w:p>
      <w:pPr>
        <w:pStyle w:val="4"/>
        <w:numPr>
          <w:ilvl w:val="0"/>
          <w:numId w:val="1"/>
        </w:numPr>
        <w:ind w:firstLine="562"/>
        <w:rPr>
          <w:color w:val="000000" w:themeColor="text1"/>
        </w:rPr>
      </w:pPr>
      <w:r>
        <w:rPr>
          <w:rFonts w:hint="eastAsia"/>
          <w:color w:val="000000" w:themeColor="text1"/>
        </w:rPr>
        <w:t>项目内容、执行标准和实施期限</w:t>
      </w:r>
    </w:p>
    <w:p>
      <w:pPr>
        <w:numPr>
          <w:ilvl w:val="0"/>
          <w:numId w:val="2"/>
        </w:numPr>
        <w:rPr>
          <w:color w:val="000000" w:themeColor="text1"/>
        </w:rPr>
      </w:pPr>
      <w:r>
        <w:rPr>
          <w:rFonts w:hint="eastAsia"/>
          <w:color w:val="000000" w:themeColor="text1"/>
        </w:rPr>
        <w:t>项目内容</w:t>
      </w:r>
    </w:p>
    <w:p>
      <w:pPr>
        <w:rPr>
          <w:color w:val="000000" w:themeColor="text1"/>
        </w:rPr>
      </w:pPr>
      <w:r>
        <w:rPr>
          <w:rFonts w:hint="eastAsia"/>
          <w:color w:val="000000" w:themeColor="text1"/>
          <w:szCs w:val="28"/>
        </w:rPr>
        <w:t>完成全市范围内自然资源信息化建设标准规范的制定；基本建成管理服务云平台和服务门户；完成国土资源大数据中心和“一张图”管理系统建设；扩展并完成市级大数据综合监管平台、不动产登记平台、政务办公系统建设，完成土地储备与供应综合管理系统、建设用地管理系统建设；根据二期数据、平台及应用建设内容，在一期基础上搭建国土资源云二期建设的支撑环境，完善自然资源一张图核心数据库。</w:t>
      </w:r>
    </w:p>
    <w:p>
      <w:pPr>
        <w:numPr>
          <w:ilvl w:val="0"/>
          <w:numId w:val="2"/>
        </w:numPr>
      </w:pPr>
      <w:r>
        <w:rPr>
          <w:rFonts w:hint="eastAsia"/>
        </w:rPr>
        <w:t>实施期限</w:t>
      </w:r>
    </w:p>
    <w:p>
      <w:pPr>
        <w:rPr>
          <w:rFonts w:hint="default" w:eastAsia="仿宋"/>
          <w:lang w:val="en-US" w:eastAsia="zh-CN"/>
        </w:rPr>
      </w:pPr>
      <w:r>
        <w:rPr>
          <w:rFonts w:hint="eastAsia"/>
        </w:rPr>
        <w:t>项目计划完成期限：2019年</w:t>
      </w:r>
      <w:r>
        <w:rPr>
          <w:rFonts w:hint="eastAsia"/>
          <w:lang w:val="en-US" w:eastAsia="zh-CN"/>
        </w:rPr>
        <w:t>10月前启动</w:t>
      </w:r>
      <w:r>
        <w:rPr>
          <w:rFonts w:hint="eastAsia" w:ascii="仿宋" w:hAnsi="仿宋" w:cs="仿宋"/>
          <w:lang w:val="en-US" w:eastAsia="zh-CN"/>
        </w:rPr>
        <w:t>南昌市国土资源云二期</w:t>
      </w:r>
      <w:r>
        <w:rPr>
          <w:rFonts w:hint="eastAsia"/>
          <w:lang w:val="en-US" w:eastAsia="zh-CN"/>
        </w:rPr>
        <w:t>项目</w:t>
      </w:r>
    </w:p>
    <w:p>
      <w:pPr>
        <w:rPr>
          <w:rFonts w:hint="default" w:eastAsia="仿宋"/>
          <w:lang w:val="en-US" w:eastAsia="zh-CN"/>
        </w:rPr>
      </w:pPr>
      <w:r>
        <w:rPr>
          <w:rFonts w:hint="eastAsia"/>
        </w:rPr>
        <w:t>项目实际完成期限：2019年</w:t>
      </w:r>
      <w:r>
        <w:rPr>
          <w:rFonts w:hint="eastAsia"/>
          <w:lang w:val="en-US" w:eastAsia="zh-CN"/>
        </w:rPr>
        <w:t>9月26日启动</w:t>
      </w:r>
      <w:r>
        <w:rPr>
          <w:rFonts w:hint="eastAsia" w:ascii="仿宋" w:hAnsi="仿宋" w:cs="仿宋"/>
          <w:lang w:val="en-US" w:eastAsia="zh-CN"/>
        </w:rPr>
        <w:t>南昌市国土资源云二期</w:t>
      </w:r>
      <w:r>
        <w:rPr>
          <w:rFonts w:ascii="仿宋" w:hAnsi="仿宋" w:cs="仿宋"/>
        </w:rPr>
        <w:t>项目</w:t>
      </w:r>
    </w:p>
    <w:p>
      <w:pPr>
        <w:pStyle w:val="4"/>
        <w:numPr>
          <w:ilvl w:val="0"/>
          <w:numId w:val="1"/>
        </w:numPr>
        <w:ind w:firstLine="562"/>
      </w:pPr>
      <w:r>
        <w:rPr>
          <w:rFonts w:hint="eastAsia"/>
        </w:rPr>
        <w:t>资金使用情况</w:t>
      </w:r>
    </w:p>
    <w:p>
      <w:r>
        <w:rPr>
          <w:rFonts w:hint="eastAsia"/>
        </w:rPr>
        <w:t>本项目2019年预算安排为</w:t>
      </w:r>
      <w:r>
        <w:rPr>
          <w:rFonts w:hint="eastAsia"/>
          <w:lang w:val="en-US" w:eastAsia="zh-CN"/>
        </w:rPr>
        <w:t>808.36</w:t>
      </w:r>
      <w:r>
        <w:rPr>
          <w:rFonts w:hint="eastAsia"/>
        </w:rPr>
        <w:t>万元（资金全部来源于财政拨款），实际到位</w:t>
      </w:r>
      <w:r>
        <w:rPr>
          <w:rFonts w:hint="eastAsia"/>
          <w:lang w:val="en-US" w:eastAsia="zh-CN"/>
        </w:rPr>
        <w:t>808.36</w:t>
      </w:r>
      <w:r>
        <w:rPr>
          <w:rFonts w:hint="eastAsia"/>
        </w:rPr>
        <w:t>万元，实际支出</w:t>
      </w:r>
      <w:r>
        <w:rPr>
          <w:rFonts w:hint="eastAsia"/>
          <w:lang w:val="en-US" w:eastAsia="zh-CN"/>
        </w:rPr>
        <w:t>808.36</w:t>
      </w:r>
      <w:r>
        <w:rPr>
          <w:rFonts w:hint="eastAsia"/>
        </w:rPr>
        <w:t>万元</w:t>
      </w:r>
      <w:r>
        <w:rPr>
          <w:rFonts w:hint="eastAsia"/>
          <w:lang w:eastAsia="zh-CN"/>
        </w:rPr>
        <w:t>，</w:t>
      </w:r>
      <w:r>
        <w:rPr>
          <w:rFonts w:hint="eastAsia"/>
          <w:lang w:val="en-US" w:eastAsia="zh-CN"/>
        </w:rPr>
        <w:t>其中平台及支撑环境（二期）572.4万元，数据整合（二期）235.96万元</w:t>
      </w:r>
      <w:r>
        <w:rPr>
          <w:rFonts w:hint="eastAsia"/>
        </w:rPr>
        <w:t>。</w:t>
      </w:r>
    </w:p>
    <w:p>
      <w:pPr>
        <w:pStyle w:val="4"/>
        <w:numPr>
          <w:ilvl w:val="0"/>
          <w:numId w:val="1"/>
        </w:numPr>
        <w:ind w:firstLine="562"/>
      </w:pPr>
      <w:r>
        <w:rPr>
          <w:rFonts w:hint="eastAsia"/>
        </w:rPr>
        <w:t>项目组织管理情况</w:t>
      </w:r>
    </w:p>
    <w:p>
      <w:pPr>
        <w:numPr>
          <w:ilvl w:val="0"/>
          <w:numId w:val="3"/>
        </w:numPr>
      </w:pPr>
      <w:r>
        <w:rPr>
          <w:rFonts w:hint="eastAsia"/>
        </w:rPr>
        <w:t>管理机构建立情况：成立临时采购小组执行设备采购</w:t>
      </w:r>
      <w:r>
        <w:rPr>
          <w:rFonts w:hint="eastAsia"/>
          <w:lang w:eastAsia="zh-CN"/>
        </w:rPr>
        <w:t>，</w:t>
      </w:r>
      <w:r>
        <w:rPr>
          <w:rFonts w:hint="eastAsia"/>
          <w:lang w:val="en-US" w:eastAsia="zh-CN"/>
        </w:rPr>
        <w:t>数据软件科负责该项目具体业务</w:t>
      </w:r>
      <w:r>
        <w:rPr>
          <w:rFonts w:hint="eastAsia"/>
        </w:rPr>
        <w:t>；</w:t>
      </w:r>
    </w:p>
    <w:p>
      <w:pPr>
        <w:widowControl/>
        <w:numPr>
          <w:ilvl w:val="0"/>
          <w:numId w:val="3"/>
        </w:numPr>
        <w:jc w:val="left"/>
      </w:pPr>
      <w:r>
        <w:rPr>
          <w:rFonts w:hint="eastAsia"/>
        </w:rPr>
        <w:t>内部控制建立情况:单位制定了《档案信息中心经费开支管理规定》、《档案信息中心资产管理制度》、《档案信息中心政府采购</w:t>
      </w:r>
      <w:r>
        <w:rPr>
          <w:rFonts w:hint="eastAsia"/>
          <w:lang w:val="en-US" w:eastAsia="zh-CN"/>
        </w:rPr>
        <w:t>暂</w:t>
      </w:r>
      <w:r>
        <w:rPr>
          <w:rFonts w:hint="eastAsia"/>
        </w:rPr>
        <w:t>行管理制度》等相应规章制度;</w:t>
      </w:r>
      <w:r>
        <w:rPr>
          <w:rFonts w:hint="eastAsia"/>
        </w:rPr>
        <w:br w:type="textWrapping"/>
      </w:r>
      <w:r>
        <w:rPr>
          <w:rFonts w:hint="eastAsia"/>
        </w:rPr>
        <w:t xml:space="preserve">    （3）历次审计(检查/稽查) 存在的问题及整改情况:无。</w:t>
      </w:r>
    </w:p>
    <w:p>
      <w:pPr>
        <w:widowControl/>
        <w:numPr>
          <w:ilvl w:val="0"/>
          <w:numId w:val="4"/>
        </w:numPr>
        <w:ind w:left="562" w:hanging="562" w:hangingChars="200"/>
        <w:jc w:val="left"/>
        <w:rPr>
          <w:rFonts w:ascii="仿宋" w:hAnsi="仿宋" w:cs="仿宋"/>
          <w:b/>
          <w:bCs/>
        </w:rPr>
      </w:pPr>
      <w:r>
        <w:rPr>
          <w:rFonts w:hint="eastAsia" w:ascii="仿宋" w:hAnsi="仿宋" w:cs="仿宋"/>
          <w:b/>
        </w:rPr>
        <w:t>项目绩效目标</w:t>
      </w:r>
      <w:r>
        <w:rPr>
          <w:rFonts w:ascii="宋体" w:hAnsi="宋体" w:eastAsia="宋体" w:cs="宋体"/>
          <w:kern w:val="0"/>
          <w:sz w:val="24"/>
          <w:szCs w:val="24"/>
        </w:rPr>
        <w:br w:type="textWrapping"/>
      </w:r>
      <w:r>
        <w:rPr>
          <w:rFonts w:hint="eastAsia" w:ascii="仿宋" w:hAnsi="仿宋" w:cs="仿宋"/>
          <w:b/>
          <w:bCs/>
        </w:rPr>
        <w:t>1、项目绩效总目标</w:t>
      </w:r>
    </w:p>
    <w:p>
      <w:pPr>
        <w:rPr>
          <w:color w:val="FF0000"/>
        </w:rPr>
      </w:pPr>
      <w:r>
        <w:rPr>
          <w:rFonts w:hint="eastAsia"/>
          <w:color w:val="000000" w:themeColor="text1"/>
          <w:szCs w:val="28"/>
        </w:rPr>
        <w:t>完成全市范围内自然资源信息化建设标准规范的制定；基本建成管理服务云平台和服务门户；完成国土资源大数据中心和“一张图”管理系统建设；扩展并完成市级大数据综合监管平台、不动产登记平台、政务办公系统建设，完成土地储备与供应综合管理系统、建设用地管理系统建设；根据二期数据、平台及应用建设内容，在一期基础上搭建国土资源云二期建设的支撑环境，完善自然资源一张图核心数据库。</w:t>
      </w:r>
      <w:r>
        <w:rPr>
          <w:rFonts w:hint="eastAsia"/>
          <w:color w:val="000000" w:themeColor="text1"/>
        </w:rPr>
        <w:br w:type="textWrapping"/>
      </w:r>
      <w:r>
        <w:rPr>
          <w:rFonts w:hint="eastAsia" w:ascii="仿宋" w:hAnsi="仿宋" w:cs="仿宋"/>
          <w:b/>
          <w:bCs/>
          <w:color w:val="000000" w:themeColor="text1"/>
        </w:rPr>
        <w:t>2、项目年度绩效目标</w:t>
      </w:r>
      <w:r>
        <w:rPr>
          <w:rFonts w:hint="eastAsia"/>
          <w:color w:val="000000" w:themeColor="text1"/>
        </w:rPr>
        <w:br w:type="textWrapping"/>
      </w:r>
      <w:r>
        <w:rPr>
          <w:rFonts w:hint="eastAsia" w:ascii="仿宋" w:hAnsi="仿宋" w:cs="仿宋"/>
          <w:color w:val="000000" w:themeColor="text1"/>
        </w:rPr>
        <w:t>(1)</w:t>
      </w:r>
      <w:r>
        <w:rPr>
          <w:rFonts w:hint="eastAsia"/>
          <w:color w:val="000000" w:themeColor="text1"/>
        </w:rPr>
        <w:t xml:space="preserve"> 完成硬件设备和软件购置到货，支撑业务系统开发；</w:t>
      </w:r>
      <w:r>
        <w:rPr>
          <w:rFonts w:hint="eastAsia"/>
          <w:color w:val="000000" w:themeColor="text1"/>
        </w:rPr>
        <w:br w:type="textWrapping"/>
      </w:r>
      <w:r>
        <w:rPr>
          <w:rFonts w:hint="eastAsia" w:ascii="仿宋" w:hAnsi="仿宋" w:cs="仿宋"/>
          <w:color w:val="000000" w:themeColor="text1"/>
        </w:rPr>
        <w:t>(2) </w:t>
      </w:r>
      <w:r>
        <w:rPr>
          <w:rFonts w:hint="eastAsia"/>
          <w:color w:val="000000" w:themeColor="text1"/>
        </w:rPr>
        <w:t>完成数据整合</w:t>
      </w:r>
      <w:r>
        <w:rPr>
          <w:rFonts w:hint="eastAsia"/>
          <w:color w:val="000000" w:themeColor="text1"/>
          <w:lang w:val="en-US" w:eastAsia="zh-CN"/>
        </w:rPr>
        <w:t>超过1万</w:t>
      </w:r>
      <w:r>
        <w:rPr>
          <w:rFonts w:hint="eastAsia"/>
          <w:color w:val="000000" w:themeColor="text1"/>
        </w:rPr>
        <w:t xml:space="preserve">条，辅助业务审批。 </w:t>
      </w:r>
      <w:r>
        <w:rPr>
          <w:rFonts w:hint="eastAsia"/>
          <w:color w:val="000000" w:themeColor="text1"/>
        </w:rPr>
        <w:br w:type="textWrapping"/>
      </w:r>
      <w:r>
        <w:rPr>
          <w:rFonts w:hint="eastAsia" w:ascii="仿宋" w:hAnsi="仿宋" w:cs="仿宋"/>
          <w:b/>
          <w:bCs/>
        </w:rPr>
        <w:t xml:space="preserve">3、项目预期目标完成情况 </w:t>
      </w:r>
    </w:p>
    <w:p>
      <w:pPr>
        <w:widowControl/>
        <w:numPr>
          <w:ilvl w:val="0"/>
          <w:numId w:val="5"/>
        </w:numPr>
        <w:ind w:left="280" w:leftChars="0" w:hanging="280" w:hangingChars="100"/>
        <w:jc w:val="left"/>
        <w:rPr>
          <w:rFonts w:hint="eastAsia" w:ascii="仿宋" w:hAnsi="仿宋" w:cs="仿宋"/>
        </w:rPr>
      </w:pPr>
      <w:r>
        <w:rPr>
          <w:rFonts w:hint="eastAsia" w:ascii="仿宋" w:hAnsi="仿宋" w:cs="仿宋"/>
          <w:lang w:val="en-US" w:eastAsia="zh-CN"/>
        </w:rPr>
        <w:t>硬件设备和软件购置到货率100%</w:t>
      </w:r>
      <w:r>
        <w:rPr>
          <w:rFonts w:hint="eastAsia" w:ascii="仿宋" w:hAnsi="仿宋" w:cs="仿宋"/>
        </w:rPr>
        <w:t>;</w:t>
      </w:r>
    </w:p>
    <w:p>
      <w:pPr>
        <w:widowControl/>
        <w:numPr>
          <w:ilvl w:val="0"/>
          <w:numId w:val="5"/>
        </w:numPr>
        <w:ind w:left="280" w:leftChars="0" w:hanging="280" w:hangingChars="100"/>
        <w:jc w:val="left"/>
        <w:rPr>
          <w:rFonts w:hint="eastAsia" w:ascii="仿宋" w:hAnsi="仿宋" w:cs="仿宋"/>
          <w:lang w:val="en-US" w:eastAsia="zh-CN"/>
        </w:rPr>
      </w:pPr>
      <w:r>
        <w:rPr>
          <w:rFonts w:hint="eastAsia" w:ascii="仿宋" w:hAnsi="仿宋" w:cs="仿宋"/>
          <w:lang w:val="en-US" w:eastAsia="zh-CN"/>
        </w:rPr>
        <w:t>数据整合完成量11338条。</w:t>
      </w:r>
    </w:p>
    <w:p>
      <w:pPr>
        <w:widowControl/>
        <w:numPr>
          <w:ilvl w:val="0"/>
          <w:numId w:val="0"/>
        </w:numPr>
        <w:ind w:leftChars="0"/>
        <w:jc w:val="left"/>
        <w:rPr>
          <w:rFonts w:ascii="仿宋" w:hAnsi="仿宋" w:cs="仿宋"/>
        </w:rPr>
      </w:pPr>
      <w:r>
        <w:rPr>
          <w:rFonts w:hint="eastAsia" w:ascii="仿宋" w:hAnsi="仿宋" w:cs="仿宋"/>
          <w:b/>
          <w:bCs/>
          <w:kern w:val="0"/>
          <w:sz w:val="32"/>
          <w:szCs w:val="32"/>
        </w:rPr>
        <w:t>二、绩效评价工作情况</w:t>
      </w:r>
      <w:r>
        <w:rPr>
          <w:rFonts w:ascii="宋体" w:hAnsi="宋体" w:eastAsia="宋体" w:cs="宋体"/>
          <w:kern w:val="0"/>
          <w:sz w:val="24"/>
          <w:szCs w:val="24"/>
        </w:rPr>
        <w:br w:type="textWrapping"/>
      </w:r>
      <w:r>
        <w:rPr>
          <w:rFonts w:hint="eastAsia" w:ascii="仿宋" w:hAnsi="仿宋" w:cs="仿宋"/>
          <w:b/>
          <w:bCs/>
          <w:kern w:val="0"/>
          <w:szCs w:val="28"/>
        </w:rPr>
        <w:t>(一)绩效评价目的</w:t>
      </w:r>
      <w:r>
        <w:rPr>
          <w:rFonts w:ascii="宋体" w:hAnsi="宋体" w:eastAsia="宋体" w:cs="宋体"/>
          <w:kern w:val="0"/>
          <w:sz w:val="24"/>
          <w:szCs w:val="24"/>
        </w:rPr>
        <w:br w:type="textWrapping"/>
      </w:r>
      <w:r>
        <w:rPr>
          <w:rFonts w:hint="eastAsia" w:ascii="宋体" w:hAnsi="宋体" w:eastAsia="宋体" w:cs="宋体"/>
          <w:kern w:val="0"/>
          <w:sz w:val="24"/>
          <w:szCs w:val="24"/>
          <w:lang w:val="en-US" w:eastAsia="zh-CN"/>
        </w:rPr>
        <w:t xml:space="preserve">     </w:t>
      </w:r>
      <w:r>
        <w:rPr>
          <w:rFonts w:hint="eastAsia" w:ascii="仿宋" w:hAnsi="仿宋" w:cs="仿宋"/>
        </w:rPr>
        <w:t>为深化预算管理改革，进一步加强项目支出的监督，提高财政资金使用效益，根据《中华人民共和国预算法》、《财政支出绩效评价管理暂行办法》和国家有关财务规章制度，结合项目经费支出的具体情况，根据南昌市财政局洪财办[2020]10号文件精神进行项目支出绩效自评工作;此外，本次绩效自评工作还力争实现以下目的:</w:t>
      </w:r>
      <w:r>
        <w:rPr>
          <w:rFonts w:hint="eastAsia" w:ascii="仿宋" w:hAnsi="仿宋" w:cs="仿宋"/>
        </w:rPr>
        <w:br w:type="textWrapping"/>
      </w:r>
      <w:r>
        <w:rPr>
          <w:rFonts w:hint="eastAsia" w:ascii="仿宋" w:hAnsi="仿宋" w:cs="仿宋"/>
          <w:lang w:val="en-US" w:eastAsia="zh-CN"/>
        </w:rPr>
        <w:t xml:space="preserve">    </w:t>
      </w:r>
      <w:r>
        <w:rPr>
          <w:rFonts w:hint="eastAsia" w:ascii="仿宋" w:hAnsi="仿宋" w:cs="仿宋"/>
        </w:rPr>
        <w:t>①贯彻落实财政部《财政支出绩效评价管理暂行办法》(财 预</w:t>
      </w:r>
      <w:r>
        <w:rPr>
          <w:rFonts w:hint="eastAsia" w:ascii="仿宋" w:hAnsi="仿宋" w:cs="仿宋"/>
        </w:rPr>
        <w:br w:type="textWrapping"/>
      </w:r>
      <w:r>
        <w:rPr>
          <w:rFonts w:hint="eastAsia" w:ascii="仿宋" w:hAnsi="仿宋" w:cs="仿宋"/>
        </w:rPr>
        <w:t xml:space="preserve">[2011]285号)文件精神，按照公共财政管理要求，运用一定的指标体系和评价标准，采取科学、规范的评价方法，采用定性及定量相结合的评价指标，对本项目的投入、过程、产出、效益进行客观公正地评价。 </w:t>
      </w:r>
    </w:p>
    <w:p>
      <w:pPr>
        <w:widowControl/>
        <w:jc w:val="left"/>
        <w:rPr>
          <w:rFonts w:ascii="仿宋" w:hAnsi="仿宋" w:cs="仿宋"/>
        </w:rPr>
      </w:pPr>
      <w:r>
        <w:rPr>
          <w:rFonts w:ascii="仿宋" w:hAnsi="仿宋" w:cs="仿宋"/>
        </w:rPr>
        <w:t>②通过绩效评价为合理分配资金、优化支出提供依据，也为逐步建立预算编制有目标，预算执行有监控，预算完成有评价，评价结果有反馈，反馈结果有应用的绩效评价机制提供决策依据。</w:t>
      </w:r>
    </w:p>
    <w:p>
      <w:pPr>
        <w:widowControl/>
        <w:jc w:val="left"/>
        <w:rPr>
          <w:rFonts w:ascii="仿宋" w:hAnsi="仿宋" w:cs="仿宋"/>
        </w:rPr>
      </w:pPr>
      <w:r>
        <w:rPr>
          <w:rFonts w:ascii="仿宋" w:hAnsi="仿宋" w:cs="仿宋"/>
        </w:rPr>
        <w:t>③通过绩效评价总结前一年度项目实施的经验教训，为进-步加强</w:t>
      </w:r>
    </w:p>
    <w:p>
      <w:pPr>
        <w:widowControl/>
        <w:ind w:firstLine="0" w:firstLineChars="0"/>
        <w:jc w:val="left"/>
        <w:rPr>
          <w:rFonts w:ascii="仿宋" w:hAnsi="仿宋" w:cs="仿宋"/>
        </w:rPr>
      </w:pPr>
      <w:r>
        <w:rPr>
          <w:rFonts w:ascii="仿宋" w:hAnsi="仿宋" w:cs="仿宋"/>
        </w:rPr>
        <w:t>本站项目管理，提高项目建设水平，发挥财政资金效益。</w:t>
      </w:r>
    </w:p>
    <w:p>
      <w:pPr>
        <w:widowControl/>
        <w:ind w:firstLine="0" w:firstLineChars="0"/>
        <w:jc w:val="left"/>
        <w:rPr>
          <w:rFonts w:ascii="仿宋" w:hAnsi="仿宋" w:cs="仿宋"/>
          <w:b/>
          <w:bCs/>
          <w:kern w:val="0"/>
          <w:szCs w:val="28"/>
        </w:rPr>
      </w:pPr>
      <w:r>
        <w:rPr>
          <w:rFonts w:ascii="仿宋" w:hAnsi="仿宋" w:cs="仿宋"/>
          <w:b/>
          <w:bCs/>
          <w:kern w:val="0"/>
          <w:szCs w:val="28"/>
        </w:rPr>
        <w:t>(二)绩效评价原则和依据、评价指标体系、评价方法</w:t>
      </w:r>
    </w:p>
    <w:p>
      <w:pPr>
        <w:ind w:firstLine="562"/>
        <w:rPr>
          <w:rFonts w:ascii="仿宋" w:hAnsi="仿宋" w:cs="仿宋"/>
          <w:b/>
          <w:bCs/>
        </w:rPr>
      </w:pPr>
      <w:r>
        <w:rPr>
          <w:rFonts w:hint="eastAsia" w:ascii="仿宋" w:hAnsi="仿宋" w:cs="仿宋"/>
          <w:b/>
          <w:bCs/>
        </w:rPr>
        <w:t>1、绩效评价原则</w:t>
      </w:r>
    </w:p>
    <w:p>
      <w:pPr>
        <w:rPr>
          <w:rFonts w:ascii="仿宋" w:hAnsi="仿宋" w:cs="仿宋"/>
        </w:rPr>
      </w:pPr>
      <w:r>
        <w:rPr>
          <w:rFonts w:hint="eastAsia" w:ascii="仿宋" w:hAnsi="仿宋" w:cs="仿宋"/>
        </w:rPr>
        <w:t>本次绩效评价，本站遵循科学规范原则、公正公开原则、分级分类</w:t>
      </w:r>
    </w:p>
    <w:p>
      <w:pPr>
        <w:ind w:firstLine="0" w:firstLineChars="0"/>
        <w:rPr>
          <w:rFonts w:ascii="仿宋" w:hAnsi="仿宋" w:cs="仿宋"/>
        </w:rPr>
      </w:pPr>
      <w:r>
        <w:rPr>
          <w:rFonts w:hint="eastAsia" w:ascii="仿宋" w:hAnsi="仿宋" w:cs="仿宋"/>
        </w:rPr>
        <w:t>原则、绩效相关原则。</w:t>
      </w:r>
    </w:p>
    <w:p>
      <w:pPr>
        <w:rPr>
          <w:rFonts w:ascii="仿宋" w:hAnsi="仿宋" w:cs="仿宋"/>
        </w:rPr>
      </w:pPr>
      <w:r>
        <w:rPr>
          <w:rFonts w:hint="eastAsia" w:ascii="仿宋" w:hAnsi="仿宋" w:cs="仿宋"/>
        </w:rPr>
        <w:t>科学规范原则:绩效评价注重财政支出的经济性、效率性和有效性，严格执行规定的程序，采用定量与定性分析相结合的方法。</w:t>
      </w:r>
    </w:p>
    <w:p>
      <w:pPr>
        <w:rPr>
          <w:rFonts w:ascii="仿宋" w:hAnsi="仿宋" w:cs="仿宋"/>
        </w:rPr>
      </w:pPr>
      <w:r>
        <w:rPr>
          <w:rFonts w:hint="eastAsia" w:ascii="仿宋" w:hAnsi="仿宋" w:cs="仿宋"/>
        </w:rPr>
        <w:t>公正公开原则:坚持客观公正，标准统一、资料可靠，依法公开并</w:t>
      </w:r>
    </w:p>
    <w:p>
      <w:pPr>
        <w:ind w:firstLine="0" w:firstLineChars="0"/>
        <w:rPr>
          <w:rFonts w:ascii="仿宋" w:hAnsi="仿宋" w:cs="仿宋"/>
        </w:rPr>
      </w:pPr>
      <w:r>
        <w:rPr>
          <w:rFonts w:hint="eastAsia" w:ascii="仿宋" w:hAnsi="仿宋" w:cs="仿宋"/>
        </w:rPr>
        <w:t>接受监督。</w:t>
      </w:r>
    </w:p>
    <w:p>
      <w:pPr>
        <w:rPr>
          <w:rFonts w:ascii="仿宋" w:hAnsi="仿宋" w:cs="仿宋"/>
        </w:rPr>
      </w:pPr>
      <w:r>
        <w:rPr>
          <w:rFonts w:hint="eastAsia" w:ascii="仿宋" w:hAnsi="仿宋" w:cs="仿宋"/>
        </w:rPr>
        <w:t>分级分类原则:绩效评估由县级财政部门、相关单位根据评价对象的特点分类组织实施。</w:t>
      </w:r>
    </w:p>
    <w:p>
      <w:pPr>
        <w:rPr>
          <w:rFonts w:ascii="仿宋" w:hAnsi="仿宋" w:cs="仿宋"/>
        </w:rPr>
      </w:pPr>
      <w:r>
        <w:rPr>
          <w:rFonts w:hint="eastAsia" w:ascii="仿宋" w:hAnsi="仿宋" w:cs="仿宋"/>
        </w:rPr>
        <w:t>绩效相关原则:绩效评价针对具体支出及其产出绩效进行，评价结果应清晰反映支出与产出绩效之间的紧密对应关系。</w:t>
      </w:r>
    </w:p>
    <w:p>
      <w:pPr>
        <w:ind w:firstLine="562"/>
        <w:rPr>
          <w:rFonts w:ascii="仿宋" w:hAnsi="仿宋" w:cs="仿宋"/>
          <w:b/>
          <w:bCs/>
        </w:rPr>
      </w:pPr>
      <w:r>
        <w:rPr>
          <w:rFonts w:ascii="仿宋" w:hAnsi="仿宋" w:cs="仿宋"/>
          <w:b/>
          <w:bCs/>
        </w:rPr>
        <w:t>2、绩效评价依据</w:t>
      </w:r>
    </w:p>
    <w:p>
      <w:pPr>
        <w:rPr>
          <w:rFonts w:ascii="仿宋" w:hAnsi="仿宋" w:cs="仿宋"/>
        </w:rPr>
      </w:pPr>
      <w:r>
        <w:rPr>
          <w:rFonts w:hint="eastAsia" w:ascii="仿宋" w:hAnsi="仿宋" w:cs="仿宋"/>
        </w:rPr>
        <w:t>（1）</w:t>
      </w:r>
      <w:r>
        <w:rPr>
          <w:rFonts w:ascii="仿宋" w:hAnsi="仿宋" w:cs="仿宋"/>
        </w:rPr>
        <w:t xml:space="preserve"> 财政部《财政支出绩效评价暂行管理办法》 (财预</w:t>
      </w:r>
      <w:r>
        <w:rPr>
          <w:rFonts w:hint="eastAsia" w:ascii="仿宋" w:hAnsi="仿宋" w:cs="仿宋"/>
        </w:rPr>
        <w:t>[</w:t>
      </w:r>
      <w:r>
        <w:rPr>
          <w:rFonts w:ascii="仿宋" w:hAnsi="仿宋" w:cs="仿宋"/>
        </w:rPr>
        <w:t>2011]285</w:t>
      </w:r>
    </w:p>
    <w:p>
      <w:pPr>
        <w:ind w:firstLine="0" w:firstLineChars="0"/>
        <w:rPr>
          <w:rFonts w:ascii="仿宋" w:hAnsi="仿宋" w:cs="仿宋"/>
        </w:rPr>
      </w:pPr>
      <w:r>
        <w:rPr>
          <w:rFonts w:ascii="仿宋" w:hAnsi="仿宋" w:cs="仿宋"/>
        </w:rPr>
        <w:t>号)</w:t>
      </w:r>
    </w:p>
    <w:p>
      <w:pPr>
        <w:rPr>
          <w:rFonts w:ascii="仿宋" w:hAnsi="仿宋" w:cs="仿宋"/>
        </w:rPr>
      </w:pPr>
      <w:r>
        <w:rPr>
          <w:rFonts w:hint="eastAsia" w:ascii="仿宋" w:hAnsi="仿宋" w:cs="仿宋"/>
        </w:rPr>
        <w:t>（2）</w:t>
      </w:r>
      <w:r>
        <w:rPr>
          <w:rFonts w:ascii="仿宋" w:hAnsi="仿宋" w:cs="仿宋"/>
        </w:rPr>
        <w:t>财政</w:t>
      </w:r>
      <w:r>
        <w:rPr>
          <w:rFonts w:hint="eastAsia" w:ascii="仿宋" w:hAnsi="仿宋" w:cs="仿宋"/>
        </w:rPr>
        <w:t>部</w:t>
      </w:r>
      <w:r>
        <w:rPr>
          <w:rFonts w:ascii="仿宋" w:hAnsi="仿宋" w:cs="仿宋"/>
        </w:rPr>
        <w:t>《推进预算绩效管理的指导意见》(财</w:t>
      </w:r>
      <w:r>
        <w:rPr>
          <w:rFonts w:hint="eastAsia" w:ascii="仿宋" w:hAnsi="仿宋" w:cs="仿宋"/>
        </w:rPr>
        <w:t>预[</w:t>
      </w:r>
      <w:r>
        <w:rPr>
          <w:rFonts w:ascii="仿宋" w:hAnsi="仿宋" w:cs="仿宋"/>
        </w:rPr>
        <w:t>2011]</w:t>
      </w:r>
      <w:r>
        <w:rPr>
          <w:rFonts w:hint="eastAsia" w:ascii="仿宋" w:hAnsi="仿宋" w:cs="仿宋"/>
        </w:rPr>
        <w:t>416</w:t>
      </w:r>
      <w:r>
        <w:rPr>
          <w:rFonts w:ascii="仿宋" w:hAnsi="仿宋" w:cs="仿宋"/>
        </w:rPr>
        <w:t>号)</w:t>
      </w:r>
    </w:p>
    <w:p>
      <w:pPr>
        <w:numPr>
          <w:ilvl w:val="0"/>
          <w:numId w:val="3"/>
        </w:numPr>
        <w:rPr>
          <w:rFonts w:ascii="仿宋" w:hAnsi="仿宋" w:cs="仿宋"/>
        </w:rPr>
      </w:pPr>
      <w:r>
        <w:rPr>
          <w:rFonts w:hint="eastAsia" w:ascii="仿宋" w:hAnsi="仿宋" w:cs="仿宋"/>
        </w:rPr>
        <w:t>财政部《预算绩效管理共性指标体系框架》</w:t>
      </w:r>
      <w:r>
        <w:rPr>
          <w:rFonts w:ascii="仿宋" w:hAnsi="仿宋" w:cs="仿宋"/>
        </w:rPr>
        <w:t>(财</w:t>
      </w:r>
      <w:r>
        <w:rPr>
          <w:rFonts w:hint="eastAsia" w:ascii="仿宋" w:hAnsi="仿宋" w:cs="仿宋"/>
        </w:rPr>
        <w:t>预[</w:t>
      </w:r>
      <w:r>
        <w:rPr>
          <w:rFonts w:ascii="仿宋" w:hAnsi="仿宋" w:cs="仿宋"/>
        </w:rPr>
        <w:t>201</w:t>
      </w:r>
      <w:r>
        <w:rPr>
          <w:rFonts w:hint="eastAsia" w:ascii="仿宋" w:hAnsi="仿宋" w:cs="仿宋"/>
        </w:rPr>
        <w:t>3</w:t>
      </w:r>
      <w:r>
        <w:rPr>
          <w:rFonts w:ascii="仿宋" w:hAnsi="仿宋" w:cs="仿宋"/>
        </w:rPr>
        <w:t>]</w:t>
      </w:r>
      <w:r>
        <w:rPr>
          <w:rFonts w:hint="eastAsia" w:ascii="仿宋" w:hAnsi="仿宋" w:cs="仿宋"/>
        </w:rPr>
        <w:t>53</w:t>
      </w:r>
      <w:r>
        <w:rPr>
          <w:rFonts w:ascii="仿宋" w:hAnsi="仿宋" w:cs="仿宋"/>
        </w:rPr>
        <w:t>号)</w:t>
      </w:r>
    </w:p>
    <w:p>
      <w:pPr>
        <w:rPr>
          <w:rFonts w:ascii="仿宋" w:hAnsi="仿宋" w:cs="仿宋"/>
        </w:rPr>
      </w:pPr>
      <w:r>
        <w:rPr>
          <w:rFonts w:hint="eastAsia" w:ascii="仿宋" w:hAnsi="仿宋" w:cs="仿宋"/>
        </w:rPr>
        <w:t>（4）江西省人民政府《关于全面推进预算绩效管理的实施意见》（赣府发[2013]8号）</w:t>
      </w:r>
    </w:p>
    <w:p>
      <w:r>
        <w:rPr>
          <w:rFonts w:hint="eastAsia"/>
        </w:rPr>
        <w:t>（5）南昌市人民政府《关于印发&lt;南昌市财政支出绩效评价管理办法&gt;（试行）的通知》（洪府发[2014]8号）</w:t>
      </w:r>
    </w:p>
    <w:p>
      <w:pPr>
        <w:rPr>
          <w:rFonts w:ascii="仿宋" w:hAnsi="仿宋" w:cs="仿宋"/>
        </w:rPr>
      </w:pPr>
      <w:r>
        <w:rPr>
          <w:rFonts w:hint="eastAsia"/>
        </w:rPr>
        <w:t>（6）南昌市财政局《关于开展2019年度市级部门财政项目支出绩效评价工作的通知》（洪财办[2020]10号）</w:t>
      </w:r>
    </w:p>
    <w:p>
      <w:pPr>
        <w:rPr>
          <w:rFonts w:hint="eastAsia" w:ascii="仿宋" w:hAnsi="仿宋" w:cs="仿宋"/>
        </w:rPr>
      </w:pPr>
      <w:r>
        <w:rPr>
          <w:rFonts w:hint="eastAsia" w:ascii="仿宋" w:hAnsi="仿宋" w:cs="仿宋"/>
        </w:rPr>
        <w:t>（7）</w:t>
      </w:r>
      <w:r>
        <w:rPr>
          <w:rFonts w:hint="eastAsia" w:ascii="仿宋" w:hAnsi="仿宋" w:cs="宋体"/>
          <w:bCs/>
          <w:color w:val="000000" w:themeColor="text1"/>
          <w:kern w:val="0"/>
          <w:sz w:val="30"/>
          <w:szCs w:val="30"/>
        </w:rPr>
        <w:t>南昌市发改委《关于“国土资源云”建设工程项目建议书的批复》（洪发改区字</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2017</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6号）</w:t>
      </w:r>
      <w:r>
        <w:rPr>
          <w:rFonts w:hint="eastAsia" w:ascii="仿宋" w:hAnsi="仿宋" w:cs="仿宋"/>
        </w:rPr>
        <w:t xml:space="preserve">    </w:t>
      </w:r>
    </w:p>
    <w:p>
      <w:pPr>
        <w:rPr>
          <w:rFonts w:hint="eastAsia" w:ascii="仿宋" w:hAnsi="仿宋" w:cs="仿宋"/>
        </w:rPr>
      </w:pPr>
      <w:r>
        <w:rPr>
          <w:rFonts w:hint="eastAsia" w:ascii="仿宋" w:hAnsi="仿宋" w:cs="仿宋"/>
        </w:rPr>
        <w:t>（8）</w:t>
      </w:r>
      <w:r>
        <w:rPr>
          <w:rFonts w:ascii="仿宋" w:hAnsi="仿宋" w:cs="仿宋"/>
        </w:rPr>
        <w:t> </w:t>
      </w:r>
      <w:r>
        <w:rPr>
          <w:rFonts w:hint="eastAsia" w:ascii="仿宋" w:hAnsi="仿宋" w:cs="宋体"/>
          <w:bCs/>
          <w:color w:val="000000" w:themeColor="text1"/>
          <w:kern w:val="0"/>
          <w:sz w:val="30"/>
          <w:szCs w:val="30"/>
        </w:rPr>
        <w:t>《南昌市行政审批局关于批复南昌市“国土资源云”建设工程项目初步设计及概算审查的函》（洪行审投字</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2018</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40号）</w:t>
      </w:r>
      <w:r>
        <w:rPr>
          <w:rFonts w:hint="eastAsia" w:ascii="仿宋" w:hAnsi="仿宋" w:cs="仿宋"/>
        </w:rPr>
        <w:t xml:space="preserve">    </w:t>
      </w:r>
    </w:p>
    <w:p>
      <w:pPr>
        <w:rPr>
          <w:rFonts w:hint="eastAsia"/>
          <w:color w:val="000000" w:themeColor="text1"/>
        </w:rPr>
      </w:pPr>
      <w:r>
        <w:rPr>
          <w:rFonts w:hint="eastAsia" w:ascii="仿宋" w:hAnsi="仿宋" w:cs="仿宋"/>
        </w:rPr>
        <w:t>（9）</w:t>
      </w:r>
      <w:r>
        <w:rPr>
          <w:rFonts w:hint="eastAsia" w:ascii="仿宋" w:hAnsi="仿宋" w:cs="宋体"/>
          <w:bCs/>
          <w:color w:val="000000" w:themeColor="text1"/>
          <w:kern w:val="0"/>
          <w:sz w:val="30"/>
          <w:szCs w:val="30"/>
        </w:rPr>
        <w:t>《南昌市人民政府关于印发2019年南昌市重大重点项目投资计划的通知》</w:t>
      </w:r>
      <w:r>
        <w:rPr>
          <w:rFonts w:hint="eastAsia"/>
          <w:color w:val="000000" w:themeColor="text1"/>
        </w:rPr>
        <w:t>（洪府发</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2019</w:t>
      </w:r>
      <w:r>
        <w:rPr>
          <w:rFonts w:ascii="仿宋" w:hAnsi="仿宋" w:cs="宋体"/>
          <w:bCs/>
          <w:color w:val="000000" w:themeColor="text1"/>
          <w:kern w:val="0"/>
          <w:sz w:val="30"/>
          <w:szCs w:val="30"/>
        </w:rPr>
        <w:t>〕</w:t>
      </w:r>
      <w:r>
        <w:rPr>
          <w:rFonts w:hint="eastAsia"/>
          <w:color w:val="000000" w:themeColor="text1"/>
        </w:rPr>
        <w:t>17号）</w:t>
      </w:r>
    </w:p>
    <w:p>
      <w:pPr>
        <w:ind w:left="560" w:leftChars="200" w:firstLine="0" w:firstLineChars="0"/>
        <w:rPr>
          <w:rFonts w:ascii="仿宋" w:hAnsi="仿宋" w:cs="仿宋"/>
        </w:rPr>
      </w:pPr>
      <w:r>
        <w:rPr>
          <w:rFonts w:ascii="仿宋" w:hAnsi="仿宋" w:cs="仿宋"/>
          <w:b/>
          <w:bCs/>
        </w:rPr>
        <w:t>3、评价指标体系</w:t>
      </w:r>
      <w:r>
        <w:rPr>
          <w:rFonts w:ascii="仿宋" w:hAnsi="仿宋" w:cs="仿宋"/>
        </w:rPr>
        <w:br w:type="textWrapping"/>
      </w:r>
      <w:r>
        <w:rPr>
          <w:rFonts w:ascii="仿宋" w:hAnsi="仿宋" w:cs="仿宋"/>
        </w:rPr>
        <w:t xml:space="preserve">评价指标体系是开展绩效评价工作的核心，根据财政部《预算绩效 </w:t>
      </w:r>
    </w:p>
    <w:p>
      <w:pPr>
        <w:ind w:firstLine="0" w:firstLineChars="0"/>
        <w:rPr>
          <w:rFonts w:ascii="仿宋" w:hAnsi="仿宋" w:cs="仿宋"/>
        </w:rPr>
      </w:pPr>
      <w:r>
        <w:rPr>
          <w:rFonts w:ascii="仿宋" w:hAnsi="仿宋" w:cs="仿宋"/>
        </w:rPr>
        <w:t>评价共性指标体系框架》等文件精神及</w:t>
      </w:r>
      <w:r>
        <w:rPr>
          <w:rFonts w:hint="eastAsia" w:ascii="仿宋" w:hAnsi="仿宋" w:cs="仿宋"/>
        </w:rPr>
        <w:t>本项目的具体特点，依据南昌市人民政府</w:t>
      </w:r>
      <w:r>
        <w:rPr>
          <w:rFonts w:ascii="仿宋" w:hAnsi="仿宋" w:cs="仿宋"/>
        </w:rPr>
        <w:t>《关于印发</w:t>
      </w:r>
      <w:r>
        <w:rPr>
          <w:rFonts w:hint="eastAsia" w:ascii="仿宋" w:hAnsi="仿宋" w:cs="仿宋"/>
        </w:rPr>
        <w:t>&lt;</w:t>
      </w:r>
      <w:r>
        <w:rPr>
          <w:rFonts w:ascii="仿宋" w:hAnsi="仿宋" w:cs="仿宋"/>
        </w:rPr>
        <w:t>南昌市财政</w:t>
      </w:r>
      <w:r>
        <w:rPr>
          <w:rFonts w:hint="eastAsia" w:ascii="仿宋" w:hAnsi="仿宋" w:cs="仿宋"/>
        </w:rPr>
        <w:t>支出绩效评价</w:t>
      </w:r>
      <w:r>
        <w:rPr>
          <w:rFonts w:ascii="仿宋" w:hAnsi="仿宋" w:cs="仿宋"/>
        </w:rPr>
        <w:t>管理办法&gt; (试行)</w:t>
      </w:r>
      <w:r>
        <w:rPr>
          <w:rFonts w:hint="eastAsia" w:ascii="仿宋" w:hAnsi="仿宋" w:cs="仿宋"/>
        </w:rPr>
        <w:t>的通知》</w:t>
      </w:r>
      <w:r>
        <w:rPr>
          <w:rFonts w:ascii="仿宋" w:hAnsi="仿宋" w:cs="仿宋"/>
        </w:rPr>
        <w:t>(洪府发</w:t>
      </w:r>
      <w:r>
        <w:rPr>
          <w:rFonts w:hint="eastAsia"/>
        </w:rPr>
        <w:t>[2014]</w:t>
      </w:r>
      <w:r>
        <w:rPr>
          <w:rFonts w:ascii="仿宋" w:hAnsi="仿宋" w:cs="仿宋"/>
        </w:rPr>
        <w:t>8号)，结合本项目的特点，运用定量定性原则，设置了合理可行的评价体系，包括投入指标(项目立项、资金落实)、过程指标(业务管理、财务管理)、产出数量与质量指标、经济效益与社会效益指标等，确定了绩效评价一级指标、二级指标和三级指标。</w:t>
      </w:r>
    </w:p>
    <w:p>
      <w:pPr>
        <w:ind w:firstLine="562"/>
        <w:rPr>
          <w:rFonts w:ascii="仿宋" w:hAnsi="仿宋" w:cs="仿宋"/>
          <w:b/>
          <w:bCs/>
        </w:rPr>
      </w:pPr>
      <w:r>
        <w:rPr>
          <w:rFonts w:ascii="仿宋" w:hAnsi="仿宋" w:cs="仿宋"/>
          <w:b/>
          <w:bCs/>
        </w:rPr>
        <w:t>4、评价方法</w:t>
      </w:r>
    </w:p>
    <w:p>
      <w:pPr>
        <w:rPr>
          <w:rFonts w:ascii="仿宋" w:hAnsi="仿宋" w:cs="仿宋"/>
        </w:rPr>
      </w:pPr>
      <w:r>
        <w:rPr>
          <w:rFonts w:ascii="仿宋" w:hAnsi="仿宋" w:cs="仿宋"/>
        </w:rPr>
        <w:t>本项目绩效评价主要根据设定的评价指标和计分标准结合本单位具体情况进行自评打分，采用百分制进行计分。</w:t>
      </w:r>
    </w:p>
    <w:p>
      <w:pPr>
        <w:rPr>
          <w:rFonts w:ascii="仿宋" w:hAnsi="仿宋" w:cs="仿宋"/>
        </w:rPr>
      </w:pPr>
      <w:r>
        <w:rPr>
          <w:rFonts w:ascii="仿宋" w:hAnsi="仿宋" w:cs="仿宋"/>
        </w:rPr>
        <w:t xml:space="preserve">根据财政部《预算绩效评价共性指标体系框架》等文件精神，确定本次绩效评价指标的整体框架，包括项目投入指标(项目立项、资金落实)，过程指标(业务管理、财务管理)，项目产出(产出数量指标、产出质量指标、产出时效指标、产出成本指标) </w:t>
      </w:r>
      <w:r>
        <w:rPr>
          <w:rFonts w:hint="eastAsia" w:ascii="仿宋" w:hAnsi="仿宋" w:cs="仿宋"/>
        </w:rPr>
        <w:t>，</w:t>
      </w:r>
      <w:r>
        <w:rPr>
          <w:rFonts w:ascii="仿宋" w:hAnsi="仿宋" w:cs="仿宋"/>
        </w:rPr>
        <w:t>项目效果(经济效益指标、社会效益指标、生态效益指标、可持续影响指标)，项目满意度(社会公众或服务对象满意度)。结合《关于在中心城区增设不动产抵押类登记窗口的实施方案》以及项目实际情况等内容，确定本次绩效评价指标体系的个性指标，并通过与相关各方的协商最终确定全部指标内容。指标数据来源于法规与政府文件、基础数据采集、问卷调查、访谈等。具体详见《项目绩效评分表》。</w:t>
      </w:r>
    </w:p>
    <w:p>
      <w:pPr>
        <w:numPr>
          <w:ilvl w:val="0"/>
          <w:numId w:val="4"/>
        </w:numPr>
        <w:ind w:left="562" w:leftChars="0" w:hanging="562" w:hangingChars="200"/>
        <w:rPr>
          <w:rFonts w:ascii="仿宋" w:hAnsi="仿宋" w:cs="仿宋"/>
          <w:b/>
          <w:bCs/>
        </w:rPr>
      </w:pPr>
      <w:r>
        <w:rPr>
          <w:rFonts w:ascii="仿宋" w:hAnsi="仿宋" w:cs="仿宋"/>
          <w:b/>
          <w:bCs/>
        </w:rPr>
        <w:t>绩效评价工作过程</w:t>
      </w:r>
    </w:p>
    <w:p>
      <w:pPr>
        <w:rPr>
          <w:rFonts w:hint="default" w:ascii="仿宋" w:hAnsi="仿宋" w:eastAsia="仿宋" w:cs="仿宋"/>
          <w:b/>
          <w:bCs/>
          <w:lang w:val="en-US" w:eastAsia="zh-CN"/>
        </w:rPr>
      </w:pPr>
      <w:r>
        <w:rPr>
          <w:rFonts w:hint="eastAsia" w:ascii="仿宋" w:hAnsi="仿宋" w:cs="仿宋"/>
          <w:b/>
          <w:bCs/>
          <w:lang w:val="en-US" w:eastAsia="zh-CN"/>
        </w:rPr>
        <w:t xml:space="preserve">  </w:t>
      </w:r>
      <w:r>
        <w:rPr>
          <w:rFonts w:hint="eastAsia" w:ascii="仿宋" w:hAnsi="仿宋" w:cs="仿宋"/>
        </w:rPr>
        <w:t>根据《南昌市财政局关于开展2019年度市级部门财政项目支出绩效评价工作的通知》的要求，</w:t>
      </w:r>
      <w:r>
        <w:rPr>
          <w:rFonts w:hint="eastAsia" w:ascii="仿宋" w:hAnsi="仿宋" w:cs="仿宋"/>
          <w:lang w:eastAsia="zh-CN"/>
        </w:rPr>
        <w:t>局机关召集各相关项目负责人于</w:t>
      </w:r>
      <w:r>
        <w:rPr>
          <w:rFonts w:hint="eastAsia" w:ascii="仿宋" w:hAnsi="仿宋" w:cs="仿宋"/>
          <w:lang w:val="en-US" w:eastAsia="zh-CN"/>
        </w:rPr>
        <w:t>2020年3月23日开展2019年项目支出绩效评价工作会议，会议中详细探讨该项工作的开展情况，并对金额较大的项目重点分析，要求各项目负责人</w:t>
      </w:r>
      <w:r>
        <w:rPr>
          <w:rFonts w:hint="eastAsia" w:ascii="仿宋" w:hAnsi="仿宋" w:cs="仿宋"/>
        </w:rPr>
        <w:t>积极开展项目绩效</w:t>
      </w:r>
      <w:r>
        <w:rPr>
          <w:rFonts w:hint="eastAsia" w:ascii="仿宋" w:hAnsi="仿宋" w:cs="仿宋"/>
          <w:lang w:eastAsia="zh-CN"/>
        </w:rPr>
        <w:t>自评</w:t>
      </w:r>
      <w:r>
        <w:rPr>
          <w:rFonts w:hint="eastAsia" w:ascii="仿宋" w:hAnsi="仿宋" w:cs="仿宋"/>
        </w:rPr>
        <w:t>工作</w:t>
      </w:r>
      <w:r>
        <w:rPr>
          <w:rFonts w:hint="eastAsia" w:ascii="仿宋" w:hAnsi="仿宋" w:cs="仿宋"/>
          <w:lang w:eastAsia="zh-CN"/>
        </w:rPr>
        <w:t>。</w:t>
      </w:r>
      <w:r>
        <w:rPr>
          <w:rFonts w:hint="eastAsia" w:ascii="仿宋" w:hAnsi="仿宋" w:cs="仿宋"/>
          <w:lang w:val="en-US" w:eastAsia="zh-CN"/>
        </w:rPr>
        <w:t>5月15日，</w:t>
      </w:r>
      <w:r>
        <w:rPr>
          <w:rFonts w:hint="eastAsia" w:ascii="仿宋" w:hAnsi="仿宋" w:cs="仿宋"/>
        </w:rPr>
        <w:t>项目绩效评价小组</w:t>
      </w:r>
      <w:r>
        <w:rPr>
          <w:rFonts w:hint="eastAsia" w:ascii="仿宋" w:hAnsi="仿宋" w:cs="仿宋"/>
          <w:lang w:eastAsia="zh-CN"/>
        </w:rPr>
        <w:t>在我局</w:t>
      </w:r>
      <w:r>
        <w:rPr>
          <w:rFonts w:hint="eastAsia" w:ascii="仿宋" w:hAnsi="仿宋" w:cs="仿宋"/>
          <w:lang w:val="en-US" w:eastAsia="zh-CN"/>
        </w:rPr>
        <w:t>1929会议室</w:t>
      </w:r>
      <w:r>
        <w:rPr>
          <w:rFonts w:hint="eastAsia" w:ascii="仿宋" w:hAnsi="仿宋" w:cs="仿宋"/>
        </w:rPr>
        <w:t>根据项目情况讨论研究进行复评并形成评价报告。</w:t>
      </w:r>
    </w:p>
    <w:p>
      <w:pPr>
        <w:ind w:firstLine="562"/>
        <w:rPr>
          <w:rFonts w:ascii="仿宋" w:hAnsi="仿宋" w:cs="仿宋"/>
          <w:b/>
          <w:bCs/>
        </w:rPr>
      </w:pPr>
      <w:r>
        <w:rPr>
          <w:rFonts w:ascii="仿宋" w:hAnsi="仿宋" w:cs="仿宋"/>
          <w:b/>
          <w:bCs/>
        </w:rPr>
        <w:t>1、成立绩效评价项目小组</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2020年3月20日-3月23日</w:t>
      </w:r>
      <w:r>
        <w:rPr>
          <w:rFonts w:hint="eastAsia" w:ascii="仿宋" w:hAnsi="仿宋" w:eastAsia="仿宋" w:cs="仿宋"/>
          <w:b/>
          <w:bCs/>
          <w:sz w:val="28"/>
          <w:szCs w:val="28"/>
          <w:lang w:eastAsia="zh-CN"/>
        </w:rPr>
        <w:t>）</w:t>
      </w:r>
    </w:p>
    <w:p>
      <w:pPr>
        <w:rPr>
          <w:rFonts w:ascii="仿宋" w:hAnsi="仿宋" w:cs="仿宋"/>
        </w:rPr>
      </w:pPr>
      <w:r>
        <w:rPr>
          <w:rFonts w:ascii="仿宋" w:hAnsi="仿宋" w:cs="仿宋"/>
        </w:rPr>
        <w:t>根据南昌市财政局《关于开展201</w:t>
      </w:r>
      <w:r>
        <w:rPr>
          <w:rFonts w:hint="eastAsia" w:ascii="仿宋" w:hAnsi="仿宋" w:cs="仿宋"/>
          <w:lang w:val="en-US" w:eastAsia="zh-CN"/>
        </w:rPr>
        <w:t>9</w:t>
      </w:r>
      <w:r>
        <w:rPr>
          <w:rFonts w:hint="eastAsia" w:ascii="仿宋" w:hAnsi="仿宋" w:cs="仿宋"/>
        </w:rPr>
        <w:t>年度市直部门</w:t>
      </w:r>
      <w:r>
        <w:rPr>
          <w:rFonts w:ascii="仿宋" w:hAnsi="仿宋" w:cs="仿宋"/>
        </w:rPr>
        <w:t>财政项目支出绩效评价工作的通知》(洪财办</w:t>
      </w:r>
      <w:r>
        <w:rPr>
          <w:rFonts w:hint="eastAsia" w:ascii="仿宋" w:hAnsi="仿宋" w:cs="仿宋"/>
        </w:rPr>
        <w:t>[</w:t>
      </w:r>
      <w:r>
        <w:rPr>
          <w:rFonts w:ascii="仿宋" w:hAnsi="仿宋" w:cs="仿宋"/>
        </w:rPr>
        <w:t>20</w:t>
      </w:r>
      <w:r>
        <w:rPr>
          <w:rFonts w:hint="eastAsia" w:ascii="仿宋" w:hAnsi="仿宋" w:cs="仿宋"/>
          <w:lang w:val="en-US" w:eastAsia="zh-CN"/>
        </w:rPr>
        <w:t>20</w:t>
      </w:r>
      <w:r>
        <w:rPr>
          <w:rFonts w:hint="eastAsia" w:ascii="仿宋" w:hAnsi="仿宋" w:cs="仿宋"/>
        </w:rPr>
        <w:t>]</w:t>
      </w:r>
      <w:r>
        <w:rPr>
          <w:rFonts w:hint="eastAsia" w:ascii="仿宋" w:hAnsi="仿宋" w:cs="仿宋"/>
          <w:lang w:val="en-US" w:eastAsia="zh-CN"/>
        </w:rPr>
        <w:t>10</w:t>
      </w:r>
      <w:r>
        <w:rPr>
          <w:rFonts w:ascii="仿宋" w:hAnsi="仿宋" w:cs="仿宋"/>
        </w:rPr>
        <w:t>号)文件要求，成立了绩效评价项</w:t>
      </w:r>
    </w:p>
    <w:p>
      <w:pPr>
        <w:ind w:firstLine="0" w:firstLineChars="0"/>
        <w:rPr>
          <w:rFonts w:hint="eastAsia" w:ascii="仿宋" w:hAnsi="仿宋" w:eastAsia="仿宋" w:cs="仿宋"/>
          <w:lang w:val="en-US" w:eastAsia="zh-CN"/>
        </w:rPr>
      </w:pPr>
      <w:r>
        <w:rPr>
          <w:rFonts w:ascii="仿宋" w:hAnsi="仿宋" w:cs="仿宋"/>
        </w:rPr>
        <w:t>目小组，具体实施项目</w:t>
      </w:r>
      <w:r>
        <w:rPr>
          <w:rFonts w:hint="eastAsia" w:ascii="仿宋" w:hAnsi="仿宋" w:cs="仿宋"/>
        </w:rPr>
        <w:t>绩</w:t>
      </w:r>
      <w:r>
        <w:rPr>
          <w:rFonts w:ascii="仿宋" w:hAnsi="仿宋" w:cs="仿宋"/>
        </w:rPr>
        <w:t>效评价工作。</w:t>
      </w:r>
    </w:p>
    <w:p>
      <w:pPr>
        <w:ind w:firstLine="562"/>
        <w:rPr>
          <w:rFonts w:ascii="仿宋" w:hAnsi="仿宋" w:cs="仿宋"/>
          <w:b/>
          <w:bCs/>
        </w:rPr>
      </w:pPr>
      <w:r>
        <w:rPr>
          <w:rFonts w:ascii="仿宋" w:hAnsi="仿宋" w:cs="仿宋"/>
          <w:b/>
          <w:bCs/>
        </w:rPr>
        <w:t>2、绩效评价实施过程</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2020年3月24日-4月10日</w:t>
      </w:r>
      <w:r>
        <w:rPr>
          <w:rFonts w:hint="eastAsia" w:ascii="仿宋" w:hAnsi="仿宋" w:eastAsia="仿宋" w:cs="仿宋"/>
          <w:b/>
          <w:bCs/>
          <w:sz w:val="28"/>
          <w:szCs w:val="28"/>
          <w:lang w:eastAsia="zh-CN"/>
        </w:rPr>
        <w:t>）</w:t>
      </w:r>
    </w:p>
    <w:p>
      <w:pPr>
        <w:rPr>
          <w:rFonts w:ascii="仿宋" w:hAnsi="仿宋" w:cs="仿宋"/>
        </w:rPr>
      </w:pPr>
      <w:r>
        <w:rPr>
          <w:rFonts w:ascii="仿宋" w:hAnsi="仿宋" w:cs="仿宋"/>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rPr>
          <w:rFonts w:ascii="仿宋" w:hAnsi="仿宋" w:cs="仿宋"/>
        </w:rPr>
      </w:pPr>
      <w:r>
        <w:rPr>
          <w:rFonts w:ascii="仿宋" w:hAnsi="仿宋" w:cs="仿宋"/>
        </w:rPr>
        <w:t>(2)根据制定的项目绩效评价工作方案，收集项目情况实施材料，包括收集、审核基础资料;对收集的证据运用科学的方法进行综合分析。</w:t>
      </w:r>
    </w:p>
    <w:p>
      <w:pPr>
        <w:rPr>
          <w:rFonts w:ascii="仿宋" w:hAnsi="仿宋" w:cs="仿宋"/>
        </w:rPr>
      </w:pPr>
      <w:r>
        <w:rPr>
          <w:rFonts w:ascii="仿宋" w:hAnsi="仿宋" w:cs="仿宋"/>
        </w:rPr>
        <w:t>(3)根据分析后的情况评分，形成综合评价结果，将评价结果纳入已确定的各项指标临界区间进行比较，确定绩效评价等级(优、良、</w:t>
      </w:r>
      <w:r>
        <w:rPr>
          <w:rFonts w:hint="eastAsia" w:ascii="仿宋" w:hAnsi="仿宋" w:cs="仿宋"/>
        </w:rPr>
        <w:t>中</w:t>
      </w:r>
      <w:r>
        <w:rPr>
          <w:rFonts w:ascii="仿宋" w:hAnsi="仿宋" w:cs="仿宋"/>
        </w:rPr>
        <w:t>、差)</w:t>
      </w:r>
    </w:p>
    <w:p>
      <w:pPr>
        <w:spacing w:line="600" w:lineRule="exact"/>
        <w:ind w:firstLine="560" w:firstLineChars="200"/>
        <w:rPr>
          <w:rFonts w:ascii="仿宋" w:hAnsi="仿宋" w:cs="仿宋"/>
          <w:b/>
          <w:bCs/>
        </w:rPr>
      </w:pPr>
      <w:r>
        <w:rPr>
          <w:rFonts w:ascii="仿宋" w:hAnsi="仿宋" w:cs="仿宋"/>
        </w:rPr>
        <w:t>(4) 对项目评价工作进行总结，</w:t>
      </w:r>
      <w:r>
        <w:rPr>
          <w:rFonts w:hint="eastAsia" w:ascii="仿宋" w:hAnsi="仿宋" w:cs="仿宋"/>
          <w:lang w:val="en-US" w:eastAsia="zh-CN"/>
        </w:rPr>
        <w:t>局机关项目评价小组根据各处室（单位）项目支出绩效自评表及评价报告对该项目进行复评，并得出结论，该项目综合自评分96分，复评得分95分。</w:t>
      </w:r>
    </w:p>
    <w:p>
      <w:pPr>
        <w:ind w:firstLine="562"/>
        <w:rPr>
          <w:rFonts w:ascii="仿宋" w:hAnsi="仿宋" w:cs="仿宋"/>
          <w:b/>
          <w:bCs/>
        </w:rPr>
      </w:pPr>
      <w:r>
        <w:rPr>
          <w:rFonts w:ascii="仿宋" w:hAnsi="仿宋" w:cs="仿宋"/>
          <w:b/>
          <w:bCs/>
        </w:rPr>
        <w:t>3、建立绩效评价工作档案</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2020年4月11日-4月15日</w:t>
      </w:r>
      <w:r>
        <w:rPr>
          <w:rFonts w:hint="eastAsia" w:ascii="仿宋" w:hAnsi="仿宋" w:eastAsia="仿宋" w:cs="仿宋"/>
          <w:b/>
          <w:bCs/>
          <w:sz w:val="28"/>
          <w:szCs w:val="28"/>
          <w:lang w:eastAsia="zh-CN"/>
        </w:rPr>
        <w:t>）</w:t>
      </w:r>
    </w:p>
    <w:p>
      <w:pPr>
        <w:rPr>
          <w:rFonts w:ascii="仿宋" w:hAnsi="仿宋" w:cs="仿宋"/>
        </w:rPr>
      </w:pPr>
      <w:r>
        <w:rPr>
          <w:rFonts w:hint="eastAsia" w:ascii="仿宋" w:hAnsi="仿宋" w:cs="仿宋"/>
        </w:rPr>
        <w:t>绩效</w:t>
      </w:r>
      <w:r>
        <w:rPr>
          <w:rFonts w:ascii="仿宋" w:hAnsi="仿宋" w:cs="仿宋"/>
        </w:rPr>
        <w:t>评价项目</w:t>
      </w:r>
      <w:r>
        <w:rPr>
          <w:rFonts w:hint="eastAsia" w:ascii="仿宋" w:hAnsi="仿宋" w:cs="仿宋"/>
        </w:rPr>
        <w:t>小</w:t>
      </w:r>
      <w:r>
        <w:rPr>
          <w:rFonts w:ascii="仿宋" w:hAnsi="仿宋" w:cs="仿宋"/>
        </w:rPr>
        <w:t>组对项目评</w:t>
      </w:r>
      <w:r>
        <w:rPr>
          <w:rFonts w:hint="eastAsia" w:ascii="仿宋" w:hAnsi="仿宋" w:cs="仿宋"/>
        </w:rPr>
        <w:t>价</w:t>
      </w:r>
      <w:r>
        <w:rPr>
          <w:rFonts w:ascii="仿宋" w:hAnsi="仿宋" w:cs="仿宋"/>
        </w:rPr>
        <w:t>工作进行</w:t>
      </w:r>
      <w:r>
        <w:rPr>
          <w:rFonts w:hint="eastAsia" w:ascii="仿宋" w:hAnsi="仿宋" w:cs="仿宋"/>
        </w:rPr>
        <w:t>总结</w:t>
      </w:r>
      <w:r>
        <w:rPr>
          <w:rFonts w:ascii="仿宋" w:hAnsi="仿宋" w:cs="仿宋"/>
        </w:rPr>
        <w:t>，</w:t>
      </w:r>
      <w:r>
        <w:rPr>
          <w:rFonts w:hint="eastAsia" w:ascii="仿宋" w:hAnsi="仿宋" w:cs="仿宋"/>
        </w:rPr>
        <w:t>将工作背景</w:t>
      </w:r>
      <w:r>
        <w:rPr>
          <w:rFonts w:ascii="仿宋" w:hAnsi="仿宋" w:cs="仿宋"/>
        </w:rPr>
        <w:t>、</w:t>
      </w:r>
      <w:r>
        <w:rPr>
          <w:rFonts w:hint="eastAsia" w:ascii="仿宋" w:hAnsi="仿宋" w:cs="仿宋"/>
        </w:rPr>
        <w:t>时间地点、工作基本情况、评价结果、评价等级、评价工作中的问题及工作建议</w:t>
      </w:r>
      <w:r>
        <w:rPr>
          <w:rFonts w:ascii="仿宋" w:hAnsi="仿宋" w:cs="仿宋"/>
        </w:rPr>
        <w:t>等形成书面材料，建立项目评价工作档案。</w:t>
      </w:r>
    </w:p>
    <w:p>
      <w:pPr>
        <w:ind w:firstLine="562"/>
        <w:rPr>
          <w:rFonts w:ascii="仿宋" w:hAnsi="仿宋" w:cs="仿宋"/>
          <w:b/>
          <w:bCs/>
        </w:rPr>
      </w:pPr>
      <w:r>
        <w:rPr>
          <w:rFonts w:ascii="仿宋" w:hAnsi="仿宋" w:cs="仿宋"/>
          <w:b/>
          <w:bCs/>
        </w:rPr>
        <w:t xml:space="preserve"> 4、证据收集方法</w:t>
      </w:r>
    </w:p>
    <w:p>
      <w:pPr>
        <w:jc w:val="left"/>
        <w:rPr>
          <w:rFonts w:ascii="仿宋" w:hAnsi="仿宋" w:cs="仿宋"/>
        </w:rPr>
      </w:pPr>
      <w:r>
        <w:rPr>
          <w:rFonts w:ascii="仿宋" w:hAnsi="仿宋" w:cs="仿宋"/>
        </w:rPr>
        <w:t>本项目主要采用查阅相关文件、合同</w:t>
      </w:r>
      <w:r>
        <w:rPr>
          <w:rFonts w:hint="eastAsia" w:ascii="仿宋" w:hAnsi="仿宋" w:cs="仿宋"/>
        </w:rPr>
        <w:t>、抽</w:t>
      </w:r>
      <w:r>
        <w:rPr>
          <w:rFonts w:ascii="仿宋" w:hAnsi="仿宋" w:cs="仿宋"/>
        </w:rPr>
        <w:t>查会计凭证账表等资料，并通过社会调查等</w:t>
      </w:r>
      <w:r>
        <w:rPr>
          <w:rFonts w:hint="eastAsia" w:ascii="仿宋" w:hAnsi="仿宋" w:cs="仿宋"/>
        </w:rPr>
        <w:t>掌握</w:t>
      </w:r>
      <w:r>
        <w:rPr>
          <w:rFonts w:ascii="仿宋" w:hAnsi="仿宋" w:cs="仿宋"/>
        </w:rPr>
        <w:t>具体情况，对采集的数据和资料进行</w:t>
      </w:r>
      <w:r>
        <w:rPr>
          <w:rFonts w:hint="eastAsia" w:ascii="仿宋" w:hAnsi="仿宋" w:cs="仿宋"/>
        </w:rPr>
        <w:t>详</w:t>
      </w:r>
      <w:r>
        <w:rPr>
          <w:rFonts w:ascii="仿宋" w:hAnsi="仿宋" w:cs="仿宋"/>
        </w:rPr>
        <w:t>细的分析和统计。</w:t>
      </w:r>
    </w:p>
    <w:p>
      <w:pPr>
        <w:ind w:firstLine="562"/>
        <w:rPr>
          <w:rFonts w:ascii="仿宋" w:hAnsi="仿宋" w:cs="仿宋"/>
          <w:b/>
          <w:bCs/>
        </w:rPr>
      </w:pPr>
      <w:r>
        <w:rPr>
          <w:rFonts w:ascii="仿宋" w:hAnsi="仿宋" w:cs="仿宋"/>
          <w:b/>
          <w:bCs/>
        </w:rPr>
        <w:t>5、本次绩效评价的局限性</w:t>
      </w:r>
    </w:p>
    <w:p>
      <w:pPr>
        <w:jc w:val="left"/>
        <w:rPr>
          <w:rFonts w:ascii="仿宋" w:hAnsi="仿宋" w:cs="仿宋"/>
        </w:rPr>
      </w:pPr>
      <w:r>
        <w:rPr>
          <w:rFonts w:ascii="仿宋" w:hAnsi="仿宋" w:cs="仿宋"/>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pPr>
        <w:numPr>
          <w:ilvl w:val="0"/>
          <w:numId w:val="6"/>
        </w:numPr>
        <w:ind w:firstLine="0" w:firstLineChars="0"/>
        <w:jc w:val="left"/>
        <w:rPr>
          <w:rFonts w:hint="eastAsia" w:ascii="仿宋" w:hAnsi="仿宋" w:cs="仿宋"/>
          <w:b/>
          <w:bCs/>
          <w:sz w:val="32"/>
          <w:szCs w:val="32"/>
          <w:lang w:eastAsia="zh-CN"/>
        </w:rPr>
      </w:pPr>
      <w:r>
        <w:rPr>
          <w:rFonts w:hint="eastAsia" w:ascii="仿宋" w:hAnsi="仿宋" w:cs="仿宋"/>
          <w:b/>
          <w:bCs/>
          <w:sz w:val="32"/>
          <w:szCs w:val="32"/>
          <w:lang w:eastAsia="zh-CN"/>
        </w:rPr>
        <w:t>综合评价情况及评价结论</w:t>
      </w:r>
    </w:p>
    <w:tbl>
      <w:tblPr>
        <w:tblStyle w:val="11"/>
        <w:tblW w:w="9854" w:type="dxa"/>
        <w:jc w:val="center"/>
        <w:tblLayout w:type="fixed"/>
        <w:tblCellMar>
          <w:top w:w="0" w:type="dxa"/>
          <w:left w:w="108" w:type="dxa"/>
          <w:bottom w:w="0" w:type="dxa"/>
          <w:right w:w="108" w:type="dxa"/>
        </w:tblCellMar>
      </w:tblPr>
      <w:tblGrid>
        <w:gridCol w:w="640"/>
        <w:gridCol w:w="1064"/>
        <w:gridCol w:w="1206"/>
        <w:gridCol w:w="980"/>
        <w:gridCol w:w="1136"/>
        <w:gridCol w:w="141"/>
        <w:gridCol w:w="990"/>
        <w:gridCol w:w="1035"/>
        <w:gridCol w:w="200"/>
        <w:gridCol w:w="385"/>
        <w:gridCol w:w="383"/>
        <w:gridCol w:w="156"/>
        <w:gridCol w:w="769"/>
        <w:gridCol w:w="769"/>
      </w:tblGrid>
      <w:tr>
        <w:tblPrEx>
          <w:tblCellMar>
            <w:top w:w="0" w:type="dxa"/>
            <w:left w:w="108" w:type="dxa"/>
            <w:bottom w:w="0" w:type="dxa"/>
            <w:right w:w="108" w:type="dxa"/>
          </w:tblCellMar>
        </w:tblPrEx>
        <w:trPr>
          <w:trHeight w:val="454" w:hRule="exact"/>
          <w:jc w:val="center"/>
        </w:trPr>
        <w:tc>
          <w:tcPr>
            <w:tcW w:w="9854" w:type="dxa"/>
            <w:gridSpan w:val="14"/>
            <w:tcBorders>
              <w:top w:val="nil"/>
              <w:left w:val="nil"/>
              <w:bottom w:val="nil"/>
              <w:right w:val="nil"/>
            </w:tcBorders>
            <w:noWrap w:val="0"/>
            <w:vAlign w:val="center"/>
          </w:tcPr>
          <w:p>
            <w:pPr>
              <w:widowControl/>
              <w:spacing w:line="4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854" w:type="dxa"/>
            <w:gridSpan w:val="14"/>
            <w:tcBorders>
              <w:top w:val="nil"/>
              <w:left w:val="nil"/>
              <w:bottom w:val="nil"/>
              <w:right w:val="nil"/>
            </w:tcBorders>
            <w:noWrap w:val="0"/>
            <w:vAlign w:val="top"/>
          </w:tcPr>
          <w:p>
            <w:pPr>
              <w:widowControl/>
              <w:jc w:val="center"/>
              <w:rPr>
                <w:rFonts w:hint="eastAsia" w:ascii="黑体" w:hAnsi="宋体" w:eastAsia="黑体" w:cs="宋体"/>
                <w:kern w:val="0"/>
                <w:szCs w:val="21"/>
              </w:rPr>
            </w:pPr>
            <w:r>
              <w:rPr>
                <w:rFonts w:hint="eastAsia" w:ascii="黑体" w:hAnsi="宋体" w:eastAsia="黑体" w:cs="宋体"/>
                <w:kern w:val="0"/>
                <w:szCs w:val="21"/>
              </w:rPr>
              <w:t>（   2019 年度）</w:t>
            </w:r>
          </w:p>
        </w:tc>
      </w:tr>
      <w:tr>
        <w:tblPrEx>
          <w:tblCellMar>
            <w:top w:w="0" w:type="dxa"/>
            <w:left w:w="108" w:type="dxa"/>
            <w:bottom w:w="0" w:type="dxa"/>
            <w:right w:w="108" w:type="dxa"/>
          </w:tblCellMar>
        </w:tblPrEx>
        <w:trPr>
          <w:trHeight w:val="475" w:hRule="exact"/>
          <w:jc w:val="center"/>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项目名称</w:t>
            </w:r>
          </w:p>
        </w:tc>
        <w:tc>
          <w:tcPr>
            <w:tcW w:w="815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b/>
                <w:bCs/>
                <w:sz w:val="21"/>
                <w:szCs w:val="21"/>
              </w:rPr>
              <w:t>南昌市“国土云”项目（二期）</w:t>
            </w:r>
          </w:p>
        </w:tc>
      </w:tr>
      <w:tr>
        <w:tblPrEx>
          <w:tblCellMar>
            <w:top w:w="0" w:type="dxa"/>
            <w:left w:w="108" w:type="dxa"/>
            <w:bottom w:w="0" w:type="dxa"/>
            <w:right w:w="108" w:type="dxa"/>
          </w:tblCellMar>
        </w:tblPrEx>
        <w:trPr>
          <w:trHeight w:val="683" w:hRule="exact"/>
          <w:jc w:val="center"/>
        </w:trPr>
        <w:tc>
          <w:tcPr>
            <w:tcW w:w="170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主管部门</w:t>
            </w:r>
          </w:p>
        </w:tc>
        <w:tc>
          <w:tcPr>
            <w:tcW w:w="445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南昌市自然资源局</w:t>
            </w:r>
          </w:p>
        </w:tc>
        <w:tc>
          <w:tcPr>
            <w:tcW w:w="123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实施单位</w:t>
            </w:r>
          </w:p>
        </w:tc>
        <w:tc>
          <w:tcPr>
            <w:tcW w:w="246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南昌市国土资源档案信息中心</w:t>
            </w:r>
          </w:p>
        </w:tc>
      </w:tr>
      <w:tr>
        <w:tblPrEx>
          <w:tblCellMar>
            <w:top w:w="0" w:type="dxa"/>
            <w:left w:w="108" w:type="dxa"/>
            <w:bottom w:w="0" w:type="dxa"/>
            <w:right w:w="108" w:type="dxa"/>
          </w:tblCellMar>
        </w:tblPrEx>
        <w:trPr>
          <w:trHeight w:val="495" w:hRule="exact"/>
          <w:jc w:val="center"/>
        </w:trPr>
        <w:tc>
          <w:tcPr>
            <w:tcW w:w="170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项目资金</w:t>
            </w:r>
            <w:r>
              <w:rPr>
                <w:rFonts w:hint="eastAsia" w:ascii="楷体" w:hAnsi="楷体" w:eastAsia="楷体" w:cs="楷体"/>
                <w:kern w:val="0"/>
                <w:sz w:val="21"/>
                <w:szCs w:val="21"/>
              </w:rPr>
              <w:br w:type="textWrapping"/>
            </w:r>
            <w:r>
              <w:rPr>
                <w:rFonts w:hint="eastAsia" w:ascii="楷体" w:hAnsi="楷体" w:eastAsia="楷体" w:cs="楷体"/>
                <w:kern w:val="0"/>
                <w:sz w:val="21"/>
                <w:szCs w:val="21"/>
              </w:rPr>
              <w:t>（万元）</w:t>
            </w: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136"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年初</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预算数</w:t>
            </w:r>
          </w:p>
        </w:tc>
        <w:tc>
          <w:tcPr>
            <w:tcW w:w="1131"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全年</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预算数</w:t>
            </w:r>
          </w:p>
        </w:tc>
        <w:tc>
          <w:tcPr>
            <w:tcW w:w="123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全年</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执行数</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分值</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执行率</w:t>
            </w:r>
          </w:p>
        </w:tc>
        <w:tc>
          <w:tcPr>
            <w:tcW w:w="769"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得分</w:t>
            </w:r>
          </w:p>
        </w:tc>
      </w:tr>
      <w:tr>
        <w:tblPrEx>
          <w:tblCellMar>
            <w:top w:w="0" w:type="dxa"/>
            <w:left w:w="108" w:type="dxa"/>
            <w:bottom w:w="0" w:type="dxa"/>
            <w:right w:w="108" w:type="dxa"/>
          </w:tblCellMar>
        </w:tblPrEx>
        <w:trPr>
          <w:trHeight w:val="354"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楷体" w:hAnsi="楷体" w:eastAsia="楷体" w:cs="楷体"/>
                <w:kern w:val="0"/>
                <w:sz w:val="21"/>
                <w:szCs w:val="21"/>
              </w:rPr>
            </w:pPr>
            <w:r>
              <w:rPr>
                <w:rFonts w:hint="eastAsia" w:ascii="楷体" w:hAnsi="楷体" w:eastAsia="楷体" w:cs="楷体"/>
                <w:kern w:val="0"/>
                <w:sz w:val="21"/>
                <w:szCs w:val="21"/>
              </w:rPr>
              <w:t>年度资金总额</w:t>
            </w:r>
          </w:p>
        </w:tc>
        <w:tc>
          <w:tcPr>
            <w:tcW w:w="1136" w:type="dxa"/>
            <w:tcBorders>
              <w:top w:val="nil"/>
              <w:left w:val="nil"/>
              <w:bottom w:val="single" w:color="auto" w:sz="4" w:space="0"/>
              <w:right w:val="single" w:color="auto" w:sz="4" w:space="0"/>
            </w:tcBorders>
            <w:noWrap w:val="0"/>
            <w:vAlign w:val="top"/>
          </w:tcPr>
          <w:p>
            <w:pPr>
              <w:ind w:left="0" w:leftChars="0" w:firstLine="0" w:firstLineChars="0"/>
              <w:rPr>
                <w:rFonts w:hint="eastAsia" w:ascii="楷体" w:hAnsi="楷体" w:eastAsia="楷体" w:cs="楷体"/>
                <w:sz w:val="21"/>
                <w:szCs w:val="21"/>
                <w:lang w:val="en-US"/>
              </w:rPr>
            </w:pPr>
            <w:r>
              <w:rPr>
                <w:rFonts w:hint="eastAsia" w:ascii="楷体" w:hAnsi="楷体" w:eastAsia="楷体" w:cs="楷体"/>
                <w:sz w:val="21"/>
                <w:szCs w:val="21"/>
                <w:lang w:val="en-US" w:eastAsia="zh-CN"/>
              </w:rPr>
              <w:t>808.36万元</w:t>
            </w:r>
          </w:p>
        </w:tc>
        <w:tc>
          <w:tcPr>
            <w:tcW w:w="1131" w:type="dxa"/>
            <w:gridSpan w:val="2"/>
            <w:tcBorders>
              <w:top w:val="nil"/>
              <w:left w:val="nil"/>
              <w:bottom w:val="single" w:color="auto" w:sz="4" w:space="0"/>
              <w:right w:val="single" w:color="auto" w:sz="4" w:space="0"/>
            </w:tcBorders>
            <w:noWrap w:val="0"/>
            <w:vAlign w:val="top"/>
          </w:tcPr>
          <w:p>
            <w:pPr>
              <w:ind w:left="0" w:leftChars="0" w:firstLine="0" w:firstLineChars="0"/>
              <w:rPr>
                <w:rFonts w:hint="eastAsia" w:ascii="楷体" w:hAnsi="楷体" w:eastAsia="楷体" w:cs="楷体"/>
                <w:sz w:val="21"/>
                <w:szCs w:val="21"/>
              </w:rPr>
            </w:pPr>
            <w:r>
              <w:rPr>
                <w:rFonts w:hint="eastAsia" w:ascii="楷体" w:hAnsi="楷体" w:eastAsia="楷体" w:cs="楷体"/>
                <w:sz w:val="21"/>
                <w:szCs w:val="21"/>
                <w:lang w:val="en-US" w:eastAsia="zh-CN"/>
              </w:rPr>
              <w:t>808.36万</w:t>
            </w:r>
          </w:p>
        </w:tc>
        <w:tc>
          <w:tcPr>
            <w:tcW w:w="123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sz w:val="21"/>
                <w:szCs w:val="21"/>
              </w:rPr>
              <w:t>808.36万</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10</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100%</w:t>
            </w:r>
          </w:p>
        </w:tc>
        <w:tc>
          <w:tcPr>
            <w:tcW w:w="769"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10</w:t>
            </w:r>
          </w:p>
        </w:tc>
      </w:tr>
      <w:tr>
        <w:tblPrEx>
          <w:tblCellMar>
            <w:top w:w="0" w:type="dxa"/>
            <w:left w:w="108" w:type="dxa"/>
            <w:bottom w:w="0" w:type="dxa"/>
            <w:right w:w="108" w:type="dxa"/>
          </w:tblCellMar>
        </w:tblPrEx>
        <w:trPr>
          <w:trHeight w:val="358"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其中：当年财政拨款</w:t>
            </w:r>
          </w:p>
        </w:tc>
        <w:tc>
          <w:tcPr>
            <w:tcW w:w="1136"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sz w:val="21"/>
                <w:szCs w:val="21"/>
                <w:lang w:val="en-US" w:eastAsia="zh-CN"/>
              </w:rPr>
              <w:t>808.36万</w:t>
            </w:r>
          </w:p>
        </w:tc>
        <w:tc>
          <w:tcPr>
            <w:tcW w:w="1131"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sz w:val="21"/>
                <w:szCs w:val="21"/>
                <w:lang w:val="en-US" w:eastAsia="zh-CN"/>
              </w:rPr>
              <w:t>808.36万</w:t>
            </w:r>
          </w:p>
        </w:tc>
        <w:tc>
          <w:tcPr>
            <w:tcW w:w="123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sz w:val="21"/>
                <w:szCs w:val="21"/>
              </w:rPr>
              <w:t>808.36万</w:t>
            </w: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10</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lang w:val="en-US" w:eastAsia="zh-CN"/>
              </w:rPr>
              <w:t>100%</w:t>
            </w:r>
          </w:p>
        </w:tc>
        <w:tc>
          <w:tcPr>
            <w:tcW w:w="769"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10</w:t>
            </w:r>
          </w:p>
        </w:tc>
      </w:tr>
      <w:tr>
        <w:tblPrEx>
          <w:tblCellMar>
            <w:top w:w="0" w:type="dxa"/>
            <w:left w:w="108" w:type="dxa"/>
            <w:bottom w:w="0" w:type="dxa"/>
            <w:right w:w="108" w:type="dxa"/>
          </w:tblCellMar>
        </w:tblPrEx>
        <w:trPr>
          <w:trHeight w:val="507"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 xml:space="preserve">     上年结转资金</w:t>
            </w:r>
          </w:p>
        </w:tc>
        <w:tc>
          <w:tcPr>
            <w:tcW w:w="113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1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w:t>
            </w:r>
          </w:p>
        </w:tc>
      </w:tr>
      <w:tr>
        <w:tblPrEx>
          <w:tblCellMar>
            <w:top w:w="0" w:type="dxa"/>
            <w:left w:w="108" w:type="dxa"/>
            <w:bottom w:w="0" w:type="dxa"/>
            <w:right w:w="108" w:type="dxa"/>
          </w:tblCellMar>
        </w:tblPrEx>
        <w:trPr>
          <w:trHeight w:val="355" w:hRule="exact"/>
          <w:jc w:val="center"/>
        </w:trPr>
        <w:tc>
          <w:tcPr>
            <w:tcW w:w="17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21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 xml:space="preserve">  其他资金</w:t>
            </w:r>
          </w:p>
        </w:tc>
        <w:tc>
          <w:tcPr>
            <w:tcW w:w="113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13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76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w:t>
            </w:r>
          </w:p>
        </w:tc>
        <w:tc>
          <w:tcPr>
            <w:tcW w:w="9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7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w:t>
            </w:r>
          </w:p>
        </w:tc>
      </w:tr>
      <w:tr>
        <w:tblPrEx>
          <w:tblCellMar>
            <w:top w:w="0" w:type="dxa"/>
            <w:left w:w="108" w:type="dxa"/>
            <w:bottom w:w="0" w:type="dxa"/>
            <w:right w:w="108" w:type="dxa"/>
          </w:tblCellMar>
        </w:tblPrEx>
        <w:trPr>
          <w:trHeight w:val="530" w:hRule="exact"/>
          <w:jc w:val="center"/>
        </w:trPr>
        <w:tc>
          <w:tcPr>
            <w:tcW w:w="6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年度总体目标</w:t>
            </w:r>
          </w:p>
        </w:tc>
        <w:tc>
          <w:tcPr>
            <w:tcW w:w="55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预期目标</w:t>
            </w:r>
          </w:p>
        </w:tc>
        <w:tc>
          <w:tcPr>
            <w:tcW w:w="369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实际完成情况</w:t>
            </w:r>
          </w:p>
        </w:tc>
      </w:tr>
      <w:tr>
        <w:tblPrEx>
          <w:tblCellMar>
            <w:top w:w="0" w:type="dxa"/>
            <w:left w:w="108" w:type="dxa"/>
            <w:bottom w:w="0" w:type="dxa"/>
            <w:right w:w="108" w:type="dxa"/>
          </w:tblCellMar>
        </w:tblPrEx>
        <w:trPr>
          <w:trHeight w:val="866" w:hRule="exact"/>
          <w:jc w:val="center"/>
        </w:trPr>
        <w:tc>
          <w:tcPr>
            <w:tcW w:w="64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551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ascii="仿宋" w:hAnsi="仿宋" w:eastAsia="仿宋"/>
                <w:sz w:val="18"/>
                <w:szCs w:val="18"/>
              </w:rPr>
              <w:t>完成</w:t>
            </w:r>
            <w:r>
              <w:rPr>
                <w:rFonts w:hint="eastAsia" w:ascii="仿宋" w:hAnsi="仿宋" w:eastAsia="仿宋"/>
                <w:sz w:val="18"/>
                <w:szCs w:val="18"/>
              </w:rPr>
              <w:t>硬件设备和软件购置到货并部署安装，完成合同约定数据库整合工作。</w:t>
            </w:r>
          </w:p>
        </w:tc>
        <w:tc>
          <w:tcPr>
            <w:tcW w:w="369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黑体" w:hAnsi="宋体" w:eastAsia="黑体" w:cs="宋体"/>
                <w:kern w:val="0"/>
                <w:szCs w:val="21"/>
              </w:rPr>
            </w:pPr>
            <w:r>
              <w:rPr>
                <w:rFonts w:ascii="仿宋" w:hAnsi="仿宋" w:eastAsia="仿宋"/>
                <w:sz w:val="18"/>
                <w:szCs w:val="18"/>
              </w:rPr>
              <w:t>完成</w:t>
            </w:r>
            <w:r>
              <w:rPr>
                <w:rFonts w:hint="eastAsia" w:ascii="仿宋" w:hAnsi="仿宋" w:eastAsia="仿宋"/>
                <w:sz w:val="18"/>
                <w:szCs w:val="18"/>
              </w:rPr>
              <w:t>硬件设备和软件购置到货并部署安装，完成合同约定数据库整合98%。</w:t>
            </w:r>
          </w:p>
        </w:tc>
      </w:tr>
      <w:tr>
        <w:tblPrEx>
          <w:tblCellMar>
            <w:top w:w="0" w:type="dxa"/>
            <w:left w:w="108" w:type="dxa"/>
            <w:bottom w:w="0" w:type="dxa"/>
            <w:right w:w="108" w:type="dxa"/>
          </w:tblCellMar>
        </w:tblPrEx>
        <w:trPr>
          <w:trHeight w:val="533" w:hRule="exact"/>
          <w:jc w:val="center"/>
        </w:trPr>
        <w:tc>
          <w:tcPr>
            <w:tcW w:w="64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64"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一级指标</w:t>
            </w:r>
          </w:p>
        </w:tc>
        <w:tc>
          <w:tcPr>
            <w:tcW w:w="1206"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二级指标</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三级指标</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年度</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指标值</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实际</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完成值</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lang w:eastAsia="zh-CN"/>
              </w:rPr>
              <w:t>分</w:t>
            </w:r>
            <w:r>
              <w:rPr>
                <w:rFonts w:hint="eastAsia" w:ascii="楷体" w:hAnsi="楷体" w:eastAsia="楷体" w:cs="楷体"/>
                <w:kern w:val="0"/>
                <w:sz w:val="21"/>
                <w:szCs w:val="21"/>
              </w:rPr>
              <w:t>值</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lang w:eastAsia="zh-CN"/>
              </w:rPr>
            </w:pPr>
            <w:r>
              <w:rPr>
                <w:rFonts w:hint="eastAsia" w:ascii="楷体" w:hAnsi="楷体" w:eastAsia="楷体" w:cs="楷体"/>
                <w:kern w:val="0"/>
                <w:sz w:val="21"/>
                <w:szCs w:val="21"/>
                <w:lang w:eastAsia="zh-CN"/>
              </w:rPr>
              <w:t>得分</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r>
              <w:rPr>
                <w:rFonts w:hint="eastAsia" w:ascii="楷体" w:hAnsi="楷体" w:eastAsia="楷体" w:cs="楷体"/>
                <w:kern w:val="0"/>
                <w:sz w:val="21"/>
                <w:szCs w:val="21"/>
              </w:rPr>
              <w:t>偏差原因分析及改进措施</w:t>
            </w:r>
          </w:p>
        </w:tc>
      </w:tr>
      <w:tr>
        <w:tblPrEx>
          <w:tblCellMar>
            <w:top w:w="0" w:type="dxa"/>
            <w:left w:w="108" w:type="dxa"/>
            <w:bottom w:w="0" w:type="dxa"/>
            <w:right w:w="108" w:type="dxa"/>
          </w:tblCellMar>
        </w:tblPrEx>
        <w:trPr>
          <w:trHeight w:val="643"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产出指标</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（50分）</w:t>
            </w:r>
          </w:p>
        </w:tc>
        <w:tc>
          <w:tcPr>
            <w:tcW w:w="1206" w:type="dxa"/>
            <w:vMerge w:val="restart"/>
            <w:tcBorders>
              <w:top w:val="nil"/>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数量指标</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（20分）</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硬件设备和软件购置到货率</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53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数据整合完成量</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w:t>
            </w:r>
            <w:r>
              <w:rPr>
                <w:rFonts w:hint="eastAsia" w:ascii="仿宋" w:hAnsi="仿宋" w:eastAsia="仿宋" w:cs="仿宋"/>
                <w:kern w:val="0"/>
                <w:sz w:val="18"/>
                <w:szCs w:val="18"/>
                <w:lang w:val="en-US" w:eastAsia="zh-CN"/>
              </w:rPr>
              <w:t>万</w:t>
            </w:r>
            <w:r>
              <w:rPr>
                <w:rFonts w:hint="eastAsia" w:ascii="仿宋" w:hAnsi="仿宋" w:eastAsia="仿宋" w:cs="仿宋"/>
                <w:kern w:val="0"/>
                <w:sz w:val="18"/>
                <w:szCs w:val="18"/>
              </w:rPr>
              <w:t>条</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1133</w:t>
            </w:r>
            <w:r>
              <w:rPr>
                <w:rFonts w:hint="eastAsia" w:ascii="仿宋" w:hAnsi="仿宋" w:eastAsia="仿宋" w:cs="仿宋"/>
                <w:kern w:val="0"/>
                <w:sz w:val="18"/>
                <w:szCs w:val="18"/>
                <w:lang w:val="en-US" w:eastAsia="zh-CN"/>
              </w:rPr>
              <w:t>8</w:t>
            </w:r>
            <w:r>
              <w:rPr>
                <w:rFonts w:hint="eastAsia" w:ascii="仿宋" w:hAnsi="仿宋" w:eastAsia="仿宋" w:cs="仿宋"/>
                <w:kern w:val="0"/>
                <w:sz w:val="18"/>
                <w:szCs w:val="18"/>
              </w:rPr>
              <w:t>条</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643"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质量指标</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（15分）</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sz w:val="18"/>
                <w:szCs w:val="18"/>
              </w:rPr>
              <w:t>硬件设备和软件购置验收合格率</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7.5</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7.5</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680"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数据整合符合数据标准合格率</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≥95%</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98%</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7</w:t>
            </w:r>
            <w:r>
              <w:rPr>
                <w:rFonts w:hint="eastAsia" w:ascii="仿宋" w:hAnsi="仿宋" w:eastAsia="仿宋" w:cs="仿宋"/>
                <w:kern w:val="0"/>
                <w:sz w:val="18"/>
                <w:szCs w:val="18"/>
                <w:lang w:val="en-US" w:eastAsia="zh-CN"/>
              </w:rPr>
              <w:t>.5</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7</w:t>
            </w:r>
            <w:r>
              <w:rPr>
                <w:rFonts w:hint="eastAsia" w:ascii="仿宋" w:hAnsi="仿宋" w:eastAsia="仿宋" w:cs="仿宋"/>
                <w:kern w:val="0"/>
                <w:sz w:val="18"/>
                <w:szCs w:val="18"/>
                <w:lang w:val="en-US" w:eastAsia="zh-CN"/>
              </w:rPr>
              <w:t>.5</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696"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时效指标</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（5分）</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按照合同约定时间</w:t>
            </w:r>
            <w:r>
              <w:rPr>
                <w:rFonts w:hint="eastAsia" w:ascii="仿宋" w:hAnsi="仿宋" w:eastAsia="仿宋" w:cs="仿宋"/>
                <w:color w:val="000000"/>
                <w:kern w:val="0"/>
                <w:sz w:val="18"/>
                <w:szCs w:val="18"/>
                <w:lang w:val="en-US" w:eastAsia="zh-CN"/>
              </w:rPr>
              <w:t>启动项目</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2019年10月前</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2019年9月26日</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41"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sz w:val="18"/>
                <w:szCs w:val="18"/>
              </w:rPr>
              <w:t>硬件设备和软件购置按时安装</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2019年12月前</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2019年12月</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17"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sz w:val="18"/>
                <w:szCs w:val="18"/>
              </w:rPr>
              <w:t>数据整合按合同约定时间完成</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2019年12月前</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2019年12月前</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2</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543"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成本指标</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（10分）</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sz w:val="18"/>
                <w:szCs w:val="18"/>
              </w:rPr>
              <w:t>平台及支撑环境（二期）项目资金</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572.4万元</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572.4万元</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693"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sz w:val="18"/>
                <w:szCs w:val="18"/>
              </w:rPr>
              <w:t xml:space="preserve">数据整合（二期）项目资金 </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235.96万元</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235.96万元</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5</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510"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效益指标</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（30分）</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经济效益</w:t>
            </w:r>
          </w:p>
          <w:p>
            <w:pPr>
              <w:widowControl/>
              <w:spacing w:line="240" w:lineRule="exact"/>
              <w:ind w:left="0" w:leftChars="0" w:firstLine="210" w:firstLineChars="100"/>
              <w:jc w:val="both"/>
              <w:rPr>
                <w:rFonts w:hint="eastAsia" w:ascii="楷体" w:hAnsi="楷体" w:eastAsia="楷体" w:cs="楷体"/>
                <w:kern w:val="0"/>
                <w:sz w:val="21"/>
                <w:szCs w:val="21"/>
              </w:rPr>
            </w:pPr>
            <w:r>
              <w:rPr>
                <w:rFonts w:hint="eastAsia" w:ascii="楷体" w:hAnsi="楷体" w:eastAsia="楷体" w:cs="楷体"/>
                <w:kern w:val="0"/>
                <w:sz w:val="21"/>
                <w:szCs w:val="21"/>
              </w:rPr>
              <w:t>指标</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1002"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社会效益</w:t>
            </w:r>
          </w:p>
          <w:p>
            <w:pPr>
              <w:widowControl/>
              <w:spacing w:line="240" w:lineRule="exact"/>
              <w:ind w:left="0" w:leftChars="0" w:firstLine="210" w:firstLineChars="100"/>
              <w:jc w:val="both"/>
              <w:rPr>
                <w:rFonts w:hint="eastAsia" w:ascii="楷体" w:hAnsi="楷体" w:eastAsia="楷体" w:cs="楷体"/>
                <w:kern w:val="0"/>
                <w:sz w:val="21"/>
                <w:szCs w:val="21"/>
              </w:rPr>
            </w:pPr>
            <w:r>
              <w:rPr>
                <w:rFonts w:hint="eastAsia" w:ascii="楷体" w:hAnsi="楷体" w:eastAsia="楷体" w:cs="楷体"/>
                <w:kern w:val="0"/>
                <w:sz w:val="21"/>
                <w:szCs w:val="21"/>
              </w:rPr>
              <w:t>指标</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 w:hAnsi="仿宋" w:eastAsia="仿宋" w:cs="仿宋"/>
                <w:color w:val="000000"/>
                <w:kern w:val="0"/>
                <w:sz w:val="18"/>
                <w:szCs w:val="18"/>
                <w:lang w:val="en-US"/>
              </w:rPr>
            </w:pPr>
            <w:r>
              <w:rPr>
                <w:rFonts w:hint="eastAsia" w:ascii="仿宋" w:hAnsi="仿宋" w:eastAsia="仿宋" w:cs="仿宋"/>
                <w:color w:val="000000"/>
                <w:kern w:val="0"/>
                <w:sz w:val="18"/>
                <w:szCs w:val="18"/>
                <w:lang w:val="en-US" w:eastAsia="zh-CN"/>
              </w:rPr>
              <w:t>平台与大数据局平台进行接口对接，提供数据共享，为各部门提供数据支撑。</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100</w:t>
            </w:r>
            <w:r>
              <w:rPr>
                <w:rFonts w:hint="eastAsia" w:ascii="仿宋" w:hAnsi="仿宋" w:eastAsia="仿宋" w:cs="仿宋"/>
                <w:kern w:val="0"/>
                <w:sz w:val="18"/>
                <w:szCs w:val="18"/>
              </w:rPr>
              <w:t>%</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20</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18</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525"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生态效益</w:t>
            </w:r>
          </w:p>
          <w:p>
            <w:pPr>
              <w:widowControl/>
              <w:spacing w:line="240" w:lineRule="exact"/>
              <w:ind w:left="0" w:leftChars="0" w:firstLine="210" w:firstLineChars="100"/>
              <w:jc w:val="both"/>
              <w:rPr>
                <w:rFonts w:hint="eastAsia" w:ascii="楷体" w:hAnsi="楷体" w:eastAsia="楷体" w:cs="楷体"/>
                <w:kern w:val="0"/>
                <w:sz w:val="21"/>
                <w:szCs w:val="21"/>
              </w:rPr>
            </w:pPr>
            <w:r>
              <w:rPr>
                <w:rFonts w:hint="eastAsia" w:ascii="楷体" w:hAnsi="楷体" w:eastAsia="楷体" w:cs="楷体"/>
                <w:kern w:val="0"/>
                <w:sz w:val="21"/>
                <w:szCs w:val="21"/>
              </w:rPr>
              <w:t>指标</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p>
        </w:tc>
        <w:tc>
          <w:tcPr>
            <w:tcW w:w="9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0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469"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楷体" w:hAnsi="楷体" w:eastAsia="楷体" w:cs="楷体"/>
                <w:kern w:val="0"/>
                <w:sz w:val="21"/>
                <w:szCs w:val="21"/>
              </w:rPr>
            </w:pP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ind w:left="210" w:leftChars="0" w:hanging="210" w:hangingChars="100"/>
              <w:jc w:val="both"/>
              <w:rPr>
                <w:rFonts w:hint="eastAsia" w:ascii="楷体" w:hAnsi="楷体" w:eastAsia="楷体" w:cs="楷体"/>
                <w:kern w:val="0"/>
                <w:sz w:val="21"/>
                <w:szCs w:val="21"/>
              </w:rPr>
            </w:pPr>
            <w:r>
              <w:rPr>
                <w:rFonts w:hint="eastAsia" w:ascii="楷体" w:hAnsi="楷体" w:eastAsia="楷体" w:cs="楷体"/>
                <w:kern w:val="0"/>
                <w:sz w:val="21"/>
                <w:szCs w:val="21"/>
              </w:rPr>
              <w:t>可持续影响指标</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提供数据共享服务，简化审批流程</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100</w:t>
            </w:r>
            <w:r>
              <w:rPr>
                <w:rFonts w:hint="eastAsia" w:ascii="仿宋" w:hAnsi="仿宋" w:eastAsia="仿宋" w:cs="仿宋"/>
                <w:kern w:val="0"/>
                <w:sz w:val="18"/>
                <w:szCs w:val="18"/>
              </w:rPr>
              <w:t>%</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8</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750" w:hRule="exact"/>
          <w:jc w:val="center"/>
        </w:trPr>
        <w:tc>
          <w:tcPr>
            <w:tcW w:w="640" w:type="dxa"/>
            <w:vMerge w:val="continue"/>
            <w:tcBorders>
              <w:left w:val="single" w:color="auto" w:sz="4" w:space="0"/>
              <w:right w:val="single" w:color="auto" w:sz="4" w:space="0"/>
            </w:tcBorders>
            <w:noWrap w:val="0"/>
            <w:vAlign w:val="center"/>
          </w:tcPr>
          <w:p>
            <w:pPr>
              <w:widowControl/>
              <w:spacing w:line="240" w:lineRule="exact"/>
              <w:jc w:val="center"/>
              <w:rPr>
                <w:rFonts w:hint="eastAsia" w:ascii="黑体" w:hAnsi="宋体" w:eastAsia="黑体" w:cs="宋体"/>
                <w:kern w:val="0"/>
                <w:szCs w:val="21"/>
              </w:rPr>
            </w:pPr>
          </w:p>
        </w:tc>
        <w:tc>
          <w:tcPr>
            <w:tcW w:w="1064" w:type="dxa"/>
            <w:tcBorders>
              <w:top w:val="nil"/>
              <w:left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满意度</w:t>
            </w:r>
          </w:p>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指标（10分）</w:t>
            </w:r>
          </w:p>
        </w:tc>
        <w:tc>
          <w:tcPr>
            <w:tcW w:w="1206" w:type="dxa"/>
            <w:tcBorders>
              <w:top w:val="nil"/>
              <w:left w:val="single" w:color="auto" w:sz="4" w:space="0"/>
              <w:bottom w:val="single" w:color="auto" w:sz="4" w:space="0"/>
              <w:right w:val="single" w:color="auto" w:sz="4" w:space="0"/>
            </w:tcBorders>
            <w:noWrap w:val="0"/>
            <w:vAlign w:val="center"/>
          </w:tcPr>
          <w:p>
            <w:pPr>
              <w:widowControl/>
              <w:spacing w:line="240" w:lineRule="exact"/>
              <w:ind w:left="0" w:leftChars="0" w:firstLine="0" w:firstLineChars="0"/>
              <w:jc w:val="both"/>
              <w:rPr>
                <w:rFonts w:hint="eastAsia" w:ascii="楷体" w:hAnsi="楷体" w:eastAsia="楷体" w:cs="楷体"/>
                <w:kern w:val="0"/>
                <w:sz w:val="21"/>
                <w:szCs w:val="21"/>
              </w:rPr>
            </w:pPr>
            <w:r>
              <w:rPr>
                <w:rFonts w:hint="eastAsia" w:ascii="楷体" w:hAnsi="楷体" w:eastAsia="楷体" w:cs="楷体"/>
                <w:kern w:val="0"/>
                <w:sz w:val="21"/>
                <w:szCs w:val="21"/>
              </w:rPr>
              <w:t>服务对象满意度指标（10分）</w:t>
            </w:r>
          </w:p>
        </w:tc>
        <w:tc>
          <w:tcPr>
            <w:tcW w:w="225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群众满意度</w:t>
            </w:r>
          </w:p>
        </w:tc>
        <w:tc>
          <w:tcPr>
            <w:tcW w:w="990"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≥95%</w:t>
            </w:r>
          </w:p>
        </w:tc>
        <w:tc>
          <w:tcPr>
            <w:tcW w:w="1035" w:type="dxa"/>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≥95%</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8"/>
                <w:szCs w:val="18"/>
              </w:rPr>
            </w:pPr>
          </w:p>
        </w:tc>
      </w:tr>
      <w:tr>
        <w:tblPrEx>
          <w:tblCellMar>
            <w:top w:w="0" w:type="dxa"/>
            <w:left w:w="108" w:type="dxa"/>
            <w:bottom w:w="0" w:type="dxa"/>
            <w:right w:w="108" w:type="dxa"/>
          </w:tblCellMar>
        </w:tblPrEx>
        <w:trPr>
          <w:trHeight w:val="510" w:hRule="exact"/>
          <w:jc w:val="center"/>
        </w:trPr>
        <w:tc>
          <w:tcPr>
            <w:tcW w:w="719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总分</w:t>
            </w:r>
          </w:p>
        </w:tc>
        <w:tc>
          <w:tcPr>
            <w:tcW w:w="585"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539" w:type="dxa"/>
            <w:gridSpan w:val="2"/>
            <w:tcBorders>
              <w:top w:val="nil"/>
              <w:left w:val="nil"/>
              <w:bottom w:val="single" w:color="auto" w:sz="4" w:space="0"/>
              <w:right w:val="single" w:color="auto" w:sz="4" w:space="0"/>
            </w:tcBorders>
            <w:noWrap w:val="0"/>
            <w:vAlign w:val="center"/>
          </w:tcPr>
          <w:p>
            <w:pPr>
              <w:widowControl/>
              <w:spacing w:line="240" w:lineRule="exact"/>
              <w:ind w:left="0" w:leftChars="0" w:firstLine="0" w:firstLineChars="0"/>
              <w:jc w:val="center"/>
              <w:rPr>
                <w:rFonts w:hint="default" w:ascii="仿宋" w:hAnsi="仿宋" w:eastAsia="仿宋" w:cs="仿宋"/>
                <w:color w:val="000000"/>
                <w:kern w:val="0"/>
                <w:sz w:val="21"/>
                <w:szCs w:val="21"/>
                <w:lang w:val="en-US" w:eastAsia="zh-CN"/>
              </w:rPr>
            </w:pPr>
            <w:r>
              <w:rPr>
                <w:rFonts w:hint="eastAsia" w:ascii="仿宋" w:hAnsi="仿宋" w:cs="仿宋"/>
                <w:color w:val="000000"/>
                <w:kern w:val="0"/>
                <w:sz w:val="21"/>
                <w:szCs w:val="21"/>
                <w:lang w:val="en-US" w:eastAsia="zh-CN"/>
              </w:rPr>
              <w:t>96</w:t>
            </w:r>
          </w:p>
        </w:tc>
        <w:tc>
          <w:tcPr>
            <w:tcW w:w="15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Cs w:val="21"/>
              </w:rPr>
            </w:pPr>
          </w:p>
        </w:tc>
      </w:tr>
    </w:tbl>
    <w:p>
      <w:pPr>
        <w:numPr>
          <w:ilvl w:val="0"/>
          <w:numId w:val="0"/>
        </w:numPr>
        <w:jc w:val="left"/>
        <w:rPr>
          <w:rFonts w:hint="eastAsia" w:ascii="仿宋" w:hAnsi="仿宋" w:cs="仿宋"/>
          <w:b/>
          <w:bCs/>
          <w:sz w:val="32"/>
          <w:szCs w:val="32"/>
          <w:lang w:eastAsia="zh-CN"/>
        </w:rPr>
      </w:pPr>
      <w:r>
        <w:rPr>
          <w:rFonts w:hint="eastAsia" w:ascii="仿宋" w:hAnsi="仿宋" w:cs="仿宋"/>
          <w:b/>
          <w:bCs/>
          <w:sz w:val="32"/>
          <w:szCs w:val="32"/>
          <w:lang w:eastAsia="zh-CN"/>
        </w:rPr>
        <w:t>四、绩效评价指标分析</w:t>
      </w:r>
    </w:p>
    <w:p>
      <w:pPr>
        <w:ind w:firstLine="0" w:firstLineChars="0"/>
        <w:jc w:val="left"/>
        <w:rPr>
          <w:rFonts w:hint="eastAsia" w:ascii="仿宋" w:hAnsi="仿宋" w:eastAsia="仿宋" w:cs="仿宋"/>
          <w:b/>
          <w:bCs/>
          <w:lang w:eastAsia="zh-CN"/>
        </w:rPr>
      </w:pPr>
      <w:r>
        <w:rPr>
          <w:rFonts w:ascii="仿宋" w:hAnsi="仿宋" w:cs="仿宋"/>
          <w:b/>
          <w:bCs/>
        </w:rPr>
        <w:t>(一)项目</w:t>
      </w:r>
      <w:r>
        <w:rPr>
          <w:rFonts w:hint="eastAsia" w:ascii="仿宋" w:hAnsi="仿宋" w:cs="仿宋"/>
          <w:b/>
          <w:bCs/>
          <w:lang w:eastAsia="zh-CN"/>
        </w:rPr>
        <w:t>决策情况</w:t>
      </w:r>
    </w:p>
    <w:p>
      <w:pPr>
        <w:widowControl/>
        <w:numPr>
          <w:ilvl w:val="0"/>
          <w:numId w:val="0"/>
        </w:numPr>
        <w:ind w:firstLine="560" w:firstLineChars="200"/>
        <w:jc w:val="left"/>
        <w:rPr>
          <w:rFonts w:hint="eastAsia" w:ascii="仿宋" w:hAnsi="仿宋" w:cs="仿宋"/>
        </w:rPr>
      </w:pPr>
      <w:r>
        <w:rPr>
          <w:rFonts w:hint="eastAsia" w:ascii="仿宋" w:hAnsi="仿宋" w:cs="仿宋"/>
          <w:lang w:val="en-US" w:eastAsia="zh-CN"/>
        </w:rPr>
        <w:t>1.</w:t>
      </w:r>
      <w:r>
        <w:rPr>
          <w:rFonts w:ascii="仿宋" w:hAnsi="仿宋" w:cs="仿宋"/>
        </w:rPr>
        <w:t>项目立项规范</w:t>
      </w:r>
      <w:r>
        <w:rPr>
          <w:rFonts w:hint="eastAsia" w:ascii="仿宋" w:hAnsi="仿宋" w:cs="仿宋"/>
          <w:lang w:eastAsia="zh-CN"/>
        </w:rPr>
        <w:t>：</w:t>
      </w:r>
      <w:r>
        <w:rPr>
          <w:rFonts w:hint="eastAsia" w:ascii="仿宋" w:hAnsi="仿宋" w:eastAsia="仿宋" w:cs="仿宋"/>
          <w:bCs/>
          <w:color w:val="000000" w:themeColor="text1"/>
          <w:kern w:val="0"/>
          <w:sz w:val="28"/>
          <w:szCs w:val="28"/>
        </w:rPr>
        <w:t>根据南昌市发改委《关于“国土资源云”建设工程项目建议书的批复》（洪发改区字〔2017〕6号）、《南昌市行政审批局关于批复南昌市“国土资源云”建设工程项目初步设计及概算审查的函》（洪行审投字〔2018〕40号）和《南昌市人民政府关于印发2019年南昌市重大重点项目投资计划的通知》</w:t>
      </w:r>
      <w:r>
        <w:rPr>
          <w:rFonts w:hint="eastAsia" w:ascii="仿宋" w:hAnsi="仿宋" w:eastAsia="仿宋" w:cs="仿宋"/>
          <w:color w:val="000000" w:themeColor="text1"/>
          <w:sz w:val="28"/>
          <w:szCs w:val="28"/>
        </w:rPr>
        <w:t>（洪府发</w:t>
      </w:r>
      <w:r>
        <w:rPr>
          <w:rFonts w:hint="eastAsia" w:ascii="仿宋" w:hAnsi="仿宋" w:eastAsia="仿宋" w:cs="仿宋"/>
          <w:bCs/>
          <w:color w:val="000000" w:themeColor="text1"/>
          <w:kern w:val="0"/>
          <w:sz w:val="28"/>
          <w:szCs w:val="28"/>
        </w:rPr>
        <w:t>〔2019〕</w:t>
      </w:r>
      <w:r>
        <w:rPr>
          <w:rFonts w:hint="eastAsia" w:ascii="仿宋" w:hAnsi="仿宋" w:eastAsia="仿宋" w:cs="仿宋"/>
          <w:color w:val="000000" w:themeColor="text1"/>
          <w:sz w:val="28"/>
          <w:szCs w:val="28"/>
        </w:rPr>
        <w:t>17号）</w:t>
      </w:r>
      <w:r>
        <w:rPr>
          <w:rFonts w:hint="eastAsia" w:ascii="仿宋" w:hAnsi="仿宋" w:cs="仿宋"/>
          <w:color w:val="000000" w:themeColor="text1"/>
          <w:sz w:val="28"/>
          <w:szCs w:val="28"/>
          <w:lang w:val="en-US" w:eastAsia="zh-CN"/>
        </w:rPr>
        <w:t>确立本项目。</w:t>
      </w:r>
      <w:r>
        <w:rPr>
          <w:rFonts w:ascii="仿宋" w:hAnsi="仿宋" w:cs="仿宋"/>
        </w:rPr>
        <w:t>项目预期目标</w:t>
      </w:r>
      <w:r>
        <w:rPr>
          <w:rFonts w:hint="eastAsia" w:ascii="仿宋" w:hAnsi="仿宋" w:cs="仿宋"/>
          <w:lang w:eastAsia="zh-CN"/>
        </w:rPr>
        <w:t>：</w:t>
      </w:r>
      <w:r>
        <w:rPr>
          <w:rFonts w:hint="eastAsia" w:ascii="仿宋" w:hAnsi="仿宋" w:cs="仿宋"/>
          <w:lang w:val="en-US" w:eastAsia="zh-CN"/>
        </w:rPr>
        <w:t>完成（1）硬件设备和软件购置到货率100%</w:t>
      </w:r>
      <w:r>
        <w:rPr>
          <w:rFonts w:hint="eastAsia" w:ascii="仿宋" w:hAnsi="仿宋" w:cs="仿宋"/>
        </w:rPr>
        <w:t>;</w:t>
      </w:r>
    </w:p>
    <w:p>
      <w:pPr>
        <w:ind w:left="0" w:leftChars="0" w:firstLine="0" w:firstLineChars="0"/>
        <w:jc w:val="left"/>
        <w:rPr>
          <w:rFonts w:ascii="仿宋" w:hAnsi="仿宋" w:cs="仿宋"/>
        </w:rPr>
      </w:pPr>
      <w:r>
        <w:rPr>
          <w:rFonts w:hint="eastAsia" w:ascii="仿宋" w:hAnsi="仿宋" w:cs="仿宋"/>
          <w:lang w:val="en-US" w:eastAsia="zh-CN"/>
        </w:rPr>
        <w:t>（2）数据整合完成量11338条。</w:t>
      </w:r>
    </w:p>
    <w:p>
      <w:pPr>
        <w:rPr>
          <w:rFonts w:hint="eastAsia" w:ascii="仿宋" w:hAnsi="仿宋" w:eastAsia="仿宋" w:cs="仿宋"/>
          <w:lang w:val="en-US" w:eastAsia="zh-CN"/>
        </w:rPr>
      </w:pPr>
      <w:r>
        <w:rPr>
          <w:rFonts w:hint="eastAsia" w:ascii="仿宋" w:hAnsi="仿宋" w:cs="仿宋"/>
          <w:lang w:val="en-US" w:eastAsia="zh-CN"/>
        </w:rPr>
        <w:t>2.</w:t>
      </w:r>
      <w:r>
        <w:rPr>
          <w:rFonts w:ascii="仿宋" w:hAnsi="仿宋" w:cs="仿宋"/>
        </w:rPr>
        <w:t>预算资金执行率</w:t>
      </w:r>
      <w:r>
        <w:rPr>
          <w:rFonts w:hint="eastAsia" w:ascii="仿宋" w:hAnsi="仿宋" w:cs="仿宋"/>
        </w:rPr>
        <w:t>：</w:t>
      </w:r>
      <w:r>
        <w:rPr>
          <w:rFonts w:ascii="仿宋" w:hAnsi="仿宋" w:cs="仿宋"/>
        </w:rPr>
        <w:t>(实际支出资金</w:t>
      </w:r>
      <w:r>
        <w:rPr>
          <w:rFonts w:ascii="Arial" w:hAnsi="Arial" w:cs="Arial"/>
        </w:rPr>
        <w:t>÷</w:t>
      </w:r>
      <w:r>
        <w:rPr>
          <w:rFonts w:ascii="仿宋" w:hAnsi="仿宋" w:cs="仿宋"/>
        </w:rPr>
        <w:t>预算安排资金)</w:t>
      </w:r>
      <w:r>
        <w:rPr>
          <w:rFonts w:ascii="Arial" w:hAnsi="Arial" w:cs="Arial"/>
        </w:rPr>
        <w:t>×</w:t>
      </w:r>
      <w:r>
        <w:rPr>
          <w:rFonts w:ascii="仿宋" w:hAnsi="仿宋" w:cs="仿宋"/>
        </w:rPr>
        <w:t xml:space="preserve"> 100%=</w:t>
      </w:r>
      <w:r>
        <w:rPr>
          <w:rFonts w:hint="eastAsia" w:ascii="仿宋" w:hAnsi="仿宋" w:eastAsia="仿宋" w:cs="仿宋"/>
        </w:rPr>
        <w:t>(</w:t>
      </w:r>
      <w:r>
        <w:rPr>
          <w:rFonts w:hint="eastAsia" w:ascii="仿宋" w:hAnsi="仿宋" w:eastAsia="仿宋" w:cs="仿宋"/>
          <w:lang w:val="en-US" w:eastAsia="zh-CN"/>
        </w:rPr>
        <w:t>808.</w:t>
      </w:r>
    </w:p>
    <w:p>
      <w:pPr>
        <w:ind w:left="0" w:leftChars="0" w:firstLine="0" w:firstLineChars="0"/>
        <w:rPr>
          <w:rFonts w:hint="eastAsia" w:ascii="仿宋" w:hAnsi="仿宋" w:eastAsia="仿宋" w:cs="仿宋"/>
          <w:lang w:eastAsia="zh-CN"/>
        </w:rPr>
      </w:pPr>
      <w:r>
        <w:rPr>
          <w:rFonts w:hint="eastAsia" w:ascii="仿宋" w:hAnsi="仿宋" w:eastAsia="仿宋" w:cs="仿宋"/>
          <w:lang w:val="en-US" w:eastAsia="zh-CN"/>
        </w:rPr>
        <w:t>36</w:t>
      </w:r>
      <w:r>
        <w:rPr>
          <w:rFonts w:hint="eastAsia" w:ascii="仿宋" w:hAnsi="仿宋" w:cs="仿宋"/>
          <w:lang w:val="en-US" w:eastAsia="zh-CN"/>
        </w:rPr>
        <w:t>万元</w:t>
      </w:r>
      <w:r>
        <w:rPr>
          <w:rFonts w:hint="eastAsia" w:ascii="仿宋" w:hAnsi="仿宋" w:eastAsia="仿宋" w:cs="仿宋"/>
        </w:rPr>
        <w:t>÷</w:t>
      </w:r>
      <w:r>
        <w:rPr>
          <w:rFonts w:hint="eastAsia" w:ascii="仿宋" w:hAnsi="仿宋" w:eastAsia="仿宋" w:cs="仿宋"/>
          <w:lang w:val="en-US" w:eastAsia="zh-CN"/>
        </w:rPr>
        <w:t>808.36</w:t>
      </w:r>
      <w:r>
        <w:rPr>
          <w:rFonts w:hint="eastAsia" w:ascii="仿宋" w:hAnsi="仿宋" w:cs="仿宋"/>
          <w:lang w:val="en-US" w:eastAsia="zh-CN"/>
        </w:rPr>
        <w:t>万元</w:t>
      </w:r>
      <w:r>
        <w:rPr>
          <w:rFonts w:hint="eastAsia" w:ascii="仿宋" w:hAnsi="仿宋" w:eastAsia="仿宋" w:cs="仿宋"/>
        </w:rPr>
        <w:t>)×100%=</w:t>
      </w:r>
      <w:r>
        <w:rPr>
          <w:rFonts w:hint="eastAsia" w:ascii="仿宋" w:hAnsi="仿宋" w:cs="仿宋"/>
          <w:lang w:val="en-US" w:eastAsia="zh-CN"/>
        </w:rPr>
        <w:t>100</w:t>
      </w:r>
      <w:r>
        <w:rPr>
          <w:rFonts w:hint="eastAsia" w:ascii="仿宋" w:hAnsi="仿宋" w:eastAsia="仿宋" w:cs="仿宋"/>
        </w:rPr>
        <w:t>%</w:t>
      </w:r>
      <w:r>
        <w:rPr>
          <w:rFonts w:hint="eastAsia" w:ascii="仿宋" w:hAnsi="仿宋" w:cs="仿宋"/>
          <w:lang w:eastAsia="zh-CN"/>
        </w:rPr>
        <w:t>，</w:t>
      </w:r>
      <w:r>
        <w:rPr>
          <w:rFonts w:hint="eastAsia"/>
          <w:lang w:val="en-US" w:eastAsia="zh-CN"/>
        </w:rPr>
        <w:t>其中平台及支撑环境（二期）572.4万元，数据整合（二期）235.96万元</w:t>
      </w:r>
      <w:r>
        <w:rPr>
          <w:rFonts w:hint="eastAsia" w:ascii="仿宋" w:hAnsi="仿宋" w:cs="仿宋"/>
          <w:lang w:eastAsia="zh-CN"/>
        </w:rPr>
        <w:t>。</w:t>
      </w:r>
    </w:p>
    <w:p>
      <w:pPr>
        <w:numPr>
          <w:ilvl w:val="0"/>
          <w:numId w:val="7"/>
        </w:numPr>
        <w:ind w:left="-560" w:leftChars="-200" w:firstLine="562"/>
        <w:rPr>
          <w:rFonts w:hint="eastAsia" w:ascii="仿宋" w:hAnsi="仿宋" w:cs="仿宋"/>
          <w:b/>
          <w:bCs/>
          <w:lang w:eastAsia="zh-CN"/>
        </w:rPr>
      </w:pPr>
      <w:r>
        <w:rPr>
          <w:rFonts w:ascii="仿宋" w:hAnsi="仿宋" w:cs="仿宋"/>
          <w:b/>
          <w:bCs/>
        </w:rPr>
        <w:t>项目过程</w:t>
      </w:r>
      <w:r>
        <w:rPr>
          <w:rFonts w:hint="eastAsia" w:ascii="仿宋" w:hAnsi="仿宋" w:cs="仿宋"/>
          <w:b/>
          <w:bCs/>
          <w:lang w:eastAsia="zh-CN"/>
        </w:rPr>
        <w:t>情况</w:t>
      </w:r>
    </w:p>
    <w:p>
      <w:pPr>
        <w:numPr>
          <w:ilvl w:val="0"/>
          <w:numId w:val="0"/>
        </w:numPr>
        <w:ind w:left="2" w:leftChars="0"/>
        <w:rPr>
          <w:rFonts w:hint="default" w:ascii="仿宋" w:hAnsi="仿宋" w:cs="仿宋"/>
          <w:b/>
          <w:bCs/>
          <w:lang w:val="en-US" w:eastAsia="zh-CN"/>
        </w:rPr>
      </w:pPr>
      <w:r>
        <w:rPr>
          <w:rFonts w:hint="eastAsia" w:ascii="仿宋" w:hAnsi="仿宋" w:cs="仿宋"/>
          <w:b/>
          <w:bCs/>
          <w:lang w:val="en-US" w:eastAsia="zh-CN"/>
        </w:rPr>
        <w:t xml:space="preserve">   </w:t>
      </w:r>
      <w:r>
        <w:rPr>
          <w:rFonts w:hint="eastAsia" w:ascii="仿宋" w:hAnsi="仿宋" w:cs="仿宋"/>
          <w:b w:val="0"/>
          <w:bCs w:val="0"/>
          <w:lang w:val="en-US" w:eastAsia="zh-CN"/>
        </w:rPr>
        <w:t xml:space="preserve">  业务管理：</w:t>
      </w:r>
    </w:p>
    <w:p>
      <w:pPr>
        <w:rPr>
          <w:rFonts w:ascii="仿宋" w:hAnsi="仿宋" w:cs="仿宋"/>
        </w:rPr>
      </w:pPr>
      <w:r>
        <w:rPr>
          <w:rFonts w:ascii="仿宋" w:hAnsi="仿宋" w:cs="仿宋"/>
        </w:rPr>
        <w:t>(1)管理制度健</w:t>
      </w:r>
      <w:r>
        <w:rPr>
          <w:rFonts w:hint="eastAsia" w:ascii="仿宋" w:hAnsi="仿宋" w:cs="仿宋"/>
        </w:rPr>
        <w:t>全</w:t>
      </w:r>
      <w:r>
        <w:rPr>
          <w:rFonts w:ascii="仿宋" w:hAnsi="仿宋" w:cs="仿宋"/>
        </w:rPr>
        <w:t>性</w:t>
      </w:r>
      <w:r>
        <w:rPr>
          <w:rFonts w:hint="eastAsia" w:ascii="仿宋" w:hAnsi="仿宋" w:cs="仿宋"/>
          <w:lang w:eastAsia="zh-CN"/>
        </w:rPr>
        <w:t>：</w:t>
      </w:r>
      <w:r>
        <w:rPr>
          <w:rFonts w:hint="eastAsia" w:ascii="仿宋" w:hAnsi="仿宋" w:cs="仿宋"/>
          <w:lang w:val="en-US" w:eastAsia="zh-CN"/>
        </w:rPr>
        <w:t>数据软件科负责项目具体业务，制订了《档案信息中心政府采购暂行管理制度》、《档案信息中心合同管理制度》</w:t>
      </w:r>
      <w:r>
        <w:rPr>
          <w:rFonts w:ascii="仿宋" w:hAnsi="仿宋" w:cs="仿宋"/>
        </w:rPr>
        <w:t>;</w:t>
      </w:r>
    </w:p>
    <w:p>
      <w:pPr>
        <w:rPr>
          <w:rFonts w:hint="eastAsia" w:ascii="仿宋" w:hAnsi="仿宋" w:cs="仿宋"/>
          <w:lang w:eastAsia="zh-CN"/>
        </w:rPr>
      </w:pPr>
      <w:r>
        <w:rPr>
          <w:rFonts w:ascii="仿宋" w:hAnsi="仿宋" w:cs="仿宋"/>
        </w:rPr>
        <w:t>(2)项目质量可控性</w:t>
      </w:r>
      <w:r>
        <w:rPr>
          <w:rFonts w:hint="eastAsia" w:ascii="仿宋" w:hAnsi="仿宋" w:cs="仿宋"/>
          <w:lang w:eastAsia="zh-CN"/>
        </w:rPr>
        <w:t>：</w:t>
      </w:r>
      <w:r>
        <w:rPr>
          <w:rFonts w:hint="eastAsia" w:ascii="仿宋" w:hAnsi="仿宋" w:cs="仿宋"/>
          <w:lang w:val="en-US" w:eastAsia="zh-CN"/>
        </w:rPr>
        <w:t>按照《南昌市“国土云”平台及支撑环境（二期）》合同及《南昌市“国土云”数据整合（二期）合同》约定，软硬件购置及数据整合质量均达到相应的质量标准并验收合格</w:t>
      </w:r>
      <w:r>
        <w:rPr>
          <w:rFonts w:hint="eastAsia" w:ascii="仿宋" w:hAnsi="仿宋" w:cs="仿宋"/>
          <w:lang w:eastAsia="zh-CN"/>
        </w:rPr>
        <w:t>；</w:t>
      </w:r>
    </w:p>
    <w:p>
      <w:pPr>
        <w:rPr>
          <w:rFonts w:hint="default" w:ascii="仿宋" w:hAnsi="仿宋" w:cs="仿宋"/>
          <w:lang w:val="en-US" w:eastAsia="zh-CN"/>
        </w:rPr>
      </w:pPr>
      <w:r>
        <w:rPr>
          <w:rFonts w:hint="eastAsia" w:ascii="仿宋" w:hAnsi="仿宋" w:cs="仿宋"/>
          <w:lang w:val="en-US" w:eastAsia="zh-CN"/>
        </w:rPr>
        <w:t>财务管理：</w:t>
      </w:r>
    </w:p>
    <w:p>
      <w:pPr>
        <w:numPr>
          <w:ilvl w:val="0"/>
          <w:numId w:val="0"/>
        </w:numPr>
        <w:ind w:firstLine="560" w:firstLineChars="200"/>
        <w:rPr>
          <w:rFonts w:hint="eastAsia" w:ascii="仿宋" w:hAnsi="仿宋" w:cs="仿宋"/>
          <w:lang w:eastAsia="zh-CN"/>
        </w:rPr>
      </w:pPr>
      <w:r>
        <w:rPr>
          <w:rFonts w:hint="eastAsia" w:ascii="仿宋" w:hAnsi="仿宋" w:cs="仿宋"/>
          <w:lang w:eastAsia="zh-CN"/>
        </w:rPr>
        <w:t>（</w:t>
      </w:r>
      <w:r>
        <w:rPr>
          <w:rFonts w:hint="eastAsia" w:ascii="仿宋" w:hAnsi="仿宋" w:cs="仿宋"/>
          <w:lang w:val="en-US" w:eastAsia="zh-CN"/>
        </w:rPr>
        <w:t>1</w:t>
      </w:r>
      <w:r>
        <w:rPr>
          <w:rFonts w:hint="eastAsia" w:ascii="仿宋" w:hAnsi="仿宋" w:cs="仿宋"/>
          <w:lang w:eastAsia="zh-CN"/>
        </w:rPr>
        <w:t>）</w:t>
      </w:r>
      <w:r>
        <w:rPr>
          <w:rFonts w:ascii="仿宋" w:hAnsi="仿宋" w:cs="仿宋"/>
        </w:rPr>
        <w:t>管理制度健全性</w:t>
      </w:r>
      <w:r>
        <w:rPr>
          <w:rFonts w:hint="eastAsia" w:ascii="仿宋" w:hAnsi="仿宋" w:cs="仿宋"/>
          <w:lang w:eastAsia="zh-CN"/>
        </w:rPr>
        <w:t>：</w:t>
      </w:r>
      <w:r>
        <w:rPr>
          <w:rFonts w:hint="eastAsia" w:ascii="仿宋" w:hAnsi="仿宋" w:cs="仿宋"/>
          <w:lang w:val="en-US" w:eastAsia="zh-CN"/>
        </w:rPr>
        <w:t>制订了《档案信息中心经费开支管理制度》；</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cs="仿宋"/>
          <w:lang w:val="en-US" w:eastAsia="zh-CN"/>
        </w:rPr>
      </w:pPr>
      <w:r>
        <w:rPr>
          <w:rFonts w:hint="eastAsia" w:ascii="仿宋" w:hAnsi="仿宋" w:cs="仿宋"/>
          <w:lang w:eastAsia="zh-CN"/>
        </w:rPr>
        <w:t>（</w:t>
      </w:r>
      <w:r>
        <w:rPr>
          <w:rFonts w:hint="eastAsia" w:ascii="仿宋" w:hAnsi="仿宋" w:cs="仿宋"/>
          <w:lang w:val="en-US" w:eastAsia="zh-CN"/>
        </w:rPr>
        <w:t>2</w:t>
      </w:r>
      <w:r>
        <w:rPr>
          <w:rFonts w:hint="eastAsia" w:ascii="仿宋" w:hAnsi="仿宋" w:cs="仿宋"/>
          <w:lang w:eastAsia="zh-CN"/>
        </w:rPr>
        <w:t>）</w:t>
      </w:r>
      <w:r>
        <w:rPr>
          <w:rFonts w:ascii="仿宋" w:hAnsi="仿宋" w:cs="仿宋"/>
        </w:rPr>
        <w:t>财务监控有效性</w:t>
      </w:r>
      <w:r>
        <w:rPr>
          <w:rFonts w:hint="eastAsia" w:ascii="仿宋" w:hAnsi="仿宋" w:cs="仿宋"/>
          <w:lang w:eastAsia="zh-CN"/>
        </w:rPr>
        <w:t>：</w:t>
      </w:r>
      <w:r>
        <w:rPr>
          <w:rFonts w:hint="eastAsia" w:ascii="仿宋" w:hAnsi="仿宋" w:cs="仿宋"/>
          <w:lang w:val="en-US" w:eastAsia="zh-CN"/>
        </w:rPr>
        <w:t>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w:t>
      </w:r>
    </w:p>
    <w:p>
      <w:pPr>
        <w:numPr>
          <w:ilvl w:val="0"/>
          <w:numId w:val="0"/>
        </w:numPr>
        <w:ind w:firstLine="560" w:firstLineChars="200"/>
        <w:rPr>
          <w:rFonts w:ascii="仿宋" w:hAnsi="仿宋" w:cs="仿宋"/>
        </w:rPr>
      </w:pPr>
      <w:bookmarkStart w:id="9" w:name="_GoBack"/>
      <w:bookmarkEnd w:id="9"/>
    </w:p>
    <w:p>
      <w:pPr>
        <w:ind w:firstLine="0" w:firstLineChars="0"/>
        <w:rPr>
          <w:rFonts w:hint="eastAsia" w:ascii="仿宋" w:hAnsi="仿宋" w:eastAsia="仿宋" w:cs="仿宋"/>
          <w:b/>
          <w:bCs/>
          <w:lang w:eastAsia="zh-CN"/>
        </w:rPr>
      </w:pPr>
      <w:r>
        <w:rPr>
          <w:rFonts w:ascii="仿宋" w:hAnsi="仿宋" w:cs="仿宋"/>
          <w:b/>
          <w:bCs/>
        </w:rPr>
        <w:t>(三)项目产出</w:t>
      </w:r>
      <w:r>
        <w:rPr>
          <w:rFonts w:hint="eastAsia" w:ascii="仿宋" w:hAnsi="仿宋" w:cs="仿宋"/>
          <w:b/>
          <w:bCs/>
          <w:lang w:eastAsia="zh-CN"/>
        </w:rPr>
        <w:t>情况</w:t>
      </w:r>
    </w:p>
    <w:p>
      <w:pPr>
        <w:ind w:firstLine="562"/>
        <w:rPr>
          <w:rFonts w:ascii="仿宋" w:hAnsi="仿宋" w:cs="仿宋"/>
          <w:b/>
          <w:bCs/>
        </w:rPr>
      </w:pPr>
      <w:r>
        <w:rPr>
          <w:rFonts w:ascii="仿宋" w:hAnsi="仿宋" w:cs="仿宋"/>
          <w:b/>
          <w:bCs/>
        </w:rPr>
        <w:t>1、产出数量情况( 2</w:t>
      </w:r>
      <w:r>
        <w:rPr>
          <w:rFonts w:hint="eastAsia" w:ascii="仿宋" w:hAnsi="仿宋" w:cs="仿宋"/>
          <w:b/>
          <w:bCs/>
        </w:rPr>
        <w:t>0</w:t>
      </w:r>
      <w:r>
        <w:rPr>
          <w:rFonts w:ascii="仿宋" w:hAnsi="仿宋" w:cs="仿宋"/>
          <w:b/>
          <w:bCs/>
        </w:rPr>
        <w:t>分)</w:t>
      </w:r>
      <w:r>
        <w:rPr>
          <w:rFonts w:hint="eastAsia" w:ascii="仿宋" w:hAnsi="仿宋" w:cs="仿宋"/>
          <w:b/>
          <w:bCs/>
        </w:rPr>
        <w:t>，</w:t>
      </w:r>
      <w:r>
        <w:rPr>
          <w:rFonts w:ascii="仿宋" w:hAnsi="仿宋" w:cs="仿宋"/>
          <w:b/>
          <w:bCs/>
        </w:rPr>
        <w:t>该指标评价得分为2</w:t>
      </w:r>
      <w:r>
        <w:rPr>
          <w:rFonts w:hint="eastAsia" w:ascii="仿宋" w:hAnsi="仿宋" w:cs="仿宋"/>
          <w:b/>
          <w:bCs/>
        </w:rPr>
        <w:t>0</w:t>
      </w:r>
      <w:r>
        <w:rPr>
          <w:rFonts w:ascii="仿宋" w:hAnsi="仿宋" w:cs="仿宋"/>
          <w:b/>
          <w:bCs/>
        </w:rPr>
        <w:t>分。</w:t>
      </w:r>
    </w:p>
    <w:p>
      <w:pPr>
        <w:rPr>
          <w:rFonts w:hint="eastAsia" w:ascii="仿宋" w:hAnsi="仿宋" w:eastAsia="仿宋" w:cs="仿宋"/>
          <w:lang w:eastAsia="zh-CN"/>
        </w:rPr>
      </w:pPr>
      <w:r>
        <w:rPr>
          <w:rFonts w:ascii="仿宋" w:hAnsi="仿宋" w:cs="仿宋"/>
        </w:rPr>
        <w:t>(1)</w:t>
      </w:r>
      <w:r>
        <w:rPr>
          <w:rFonts w:hint="eastAsia" w:ascii="仿宋" w:hAnsi="仿宋" w:cs="仿宋"/>
          <w:lang w:val="en-US" w:eastAsia="zh-CN"/>
        </w:rPr>
        <w:t>硬件设备（包括虚拟化服务器、数据库服务器、磁盘列阵存储、基础网络建设、客户端pc等）及软件（包括GIS平台及开发软件、企业版数据库软件）购置到货率100%，</w:t>
      </w:r>
      <w:r>
        <w:rPr>
          <w:rFonts w:ascii="仿宋" w:hAnsi="仿宋" w:cs="仿宋"/>
        </w:rPr>
        <w:t>根据评分标准，该项指标得10分</w:t>
      </w:r>
      <w:r>
        <w:rPr>
          <w:rFonts w:hint="eastAsia" w:ascii="仿宋" w:hAnsi="仿宋" w:cs="仿宋"/>
          <w:lang w:eastAsia="zh-CN"/>
        </w:rPr>
        <w:t>；</w:t>
      </w:r>
    </w:p>
    <w:p>
      <w:pPr>
        <w:rPr>
          <w:rFonts w:ascii="仿宋" w:hAnsi="仿宋" w:cs="仿宋"/>
        </w:rPr>
      </w:pPr>
      <w:r>
        <w:rPr>
          <w:rFonts w:ascii="仿宋" w:hAnsi="仿宋" w:cs="仿宋"/>
        </w:rPr>
        <w:t>(2)</w:t>
      </w:r>
      <w:r>
        <w:rPr>
          <w:rFonts w:hint="eastAsia" w:ascii="仿宋" w:hAnsi="仿宋" w:cs="仿宋"/>
          <w:lang w:val="en-US" w:eastAsia="zh-CN"/>
        </w:rPr>
        <w:t>数据整合完成11338条，</w:t>
      </w:r>
      <w:r>
        <w:rPr>
          <w:rFonts w:ascii="仿宋" w:hAnsi="仿宋" w:cs="仿宋"/>
        </w:rPr>
        <w:t>根据评分标准，该项指标得1</w:t>
      </w:r>
      <w:r>
        <w:rPr>
          <w:rFonts w:hint="eastAsia" w:ascii="仿宋" w:hAnsi="仿宋" w:cs="仿宋"/>
        </w:rPr>
        <w:t>0</w:t>
      </w:r>
      <w:r>
        <w:rPr>
          <w:rFonts w:ascii="仿宋" w:hAnsi="仿宋" w:cs="仿宋"/>
        </w:rPr>
        <w:t>分。</w:t>
      </w:r>
    </w:p>
    <w:p>
      <w:pPr>
        <w:numPr>
          <w:ilvl w:val="0"/>
          <w:numId w:val="8"/>
        </w:numPr>
        <w:ind w:firstLine="562"/>
        <w:rPr>
          <w:rFonts w:ascii="仿宋" w:hAnsi="仿宋" w:cs="仿宋"/>
          <w:b/>
          <w:bCs/>
        </w:rPr>
      </w:pPr>
      <w:r>
        <w:rPr>
          <w:rFonts w:ascii="仿宋" w:hAnsi="仿宋" w:cs="仿宋"/>
          <w:b/>
          <w:bCs/>
        </w:rPr>
        <w:t>产出质量情况( 15分)</w:t>
      </w:r>
      <w:r>
        <w:rPr>
          <w:rFonts w:hint="eastAsia" w:ascii="仿宋" w:hAnsi="仿宋" w:cs="仿宋"/>
          <w:b/>
          <w:bCs/>
        </w:rPr>
        <w:t>，</w:t>
      </w:r>
      <w:r>
        <w:rPr>
          <w:rFonts w:ascii="仿宋" w:hAnsi="仿宋" w:cs="仿宋"/>
          <w:b/>
          <w:bCs/>
        </w:rPr>
        <w:t>该指标评</w:t>
      </w:r>
      <w:r>
        <w:rPr>
          <w:rFonts w:hint="eastAsia" w:ascii="仿宋" w:hAnsi="仿宋" w:cs="仿宋"/>
          <w:b/>
          <w:bCs/>
        </w:rPr>
        <w:t>价</w:t>
      </w:r>
      <w:r>
        <w:rPr>
          <w:rFonts w:ascii="仿宋" w:hAnsi="仿宋" w:cs="仿宋"/>
          <w:b/>
          <w:bCs/>
        </w:rPr>
        <w:t>得分为1</w:t>
      </w:r>
      <w:r>
        <w:rPr>
          <w:rFonts w:hint="eastAsia" w:ascii="仿宋" w:hAnsi="仿宋" w:cs="仿宋"/>
          <w:b/>
          <w:bCs/>
        </w:rPr>
        <w:t>5</w:t>
      </w:r>
      <w:r>
        <w:rPr>
          <w:rFonts w:ascii="仿宋" w:hAnsi="仿宋" w:cs="仿宋"/>
          <w:b/>
          <w:bCs/>
        </w:rPr>
        <w:t>分。</w:t>
      </w:r>
    </w:p>
    <w:p>
      <w:pPr>
        <w:numPr>
          <w:ilvl w:val="0"/>
          <w:numId w:val="9"/>
        </w:numPr>
        <w:ind w:firstLine="560" w:firstLineChars="200"/>
        <w:rPr>
          <w:rFonts w:hint="eastAsia" w:ascii="仿宋" w:hAnsi="仿宋" w:cs="仿宋"/>
          <w:lang w:eastAsia="zh-CN"/>
        </w:rPr>
      </w:pPr>
      <w:r>
        <w:rPr>
          <w:rFonts w:ascii="仿宋" w:hAnsi="仿宋" w:cs="仿宋"/>
        </w:rPr>
        <w:t>购买的各项</w:t>
      </w:r>
      <w:r>
        <w:rPr>
          <w:rFonts w:hint="eastAsia" w:ascii="仿宋" w:hAnsi="仿宋" w:cs="仿宋"/>
          <w:lang w:val="en-US" w:eastAsia="zh-CN"/>
        </w:rPr>
        <w:t>硬软件</w:t>
      </w:r>
      <w:r>
        <w:rPr>
          <w:rFonts w:ascii="仿宋" w:hAnsi="仿宋" w:cs="仿宋"/>
        </w:rPr>
        <w:t>设备均符合合同约定及相关标准，验收</w:t>
      </w:r>
      <w:r>
        <w:rPr>
          <w:rFonts w:hint="eastAsia" w:ascii="仿宋" w:hAnsi="仿宋" w:cs="仿宋"/>
          <w:lang w:val="en-US" w:eastAsia="zh-CN"/>
        </w:rPr>
        <w:t>合格率100%</w:t>
      </w:r>
      <w:r>
        <w:rPr>
          <w:rFonts w:ascii="仿宋" w:hAnsi="仿宋" w:cs="仿宋"/>
        </w:rPr>
        <w:t>，根据评分标准，该项指标得</w:t>
      </w:r>
      <w:r>
        <w:rPr>
          <w:rFonts w:hint="eastAsia" w:ascii="仿宋" w:hAnsi="仿宋" w:cs="仿宋"/>
          <w:lang w:val="en-US" w:eastAsia="zh-CN"/>
        </w:rPr>
        <w:t>7.5</w:t>
      </w:r>
      <w:r>
        <w:rPr>
          <w:rFonts w:ascii="仿宋" w:hAnsi="仿宋" w:cs="仿宋"/>
        </w:rPr>
        <w:t>分</w:t>
      </w:r>
      <w:r>
        <w:rPr>
          <w:rFonts w:hint="eastAsia" w:ascii="仿宋" w:hAnsi="仿宋" w:cs="仿宋"/>
          <w:lang w:eastAsia="zh-CN"/>
        </w:rPr>
        <w:t>；</w:t>
      </w:r>
    </w:p>
    <w:p>
      <w:pPr>
        <w:numPr>
          <w:ilvl w:val="0"/>
          <w:numId w:val="9"/>
        </w:numPr>
        <w:ind w:firstLine="560" w:firstLineChars="200"/>
        <w:rPr>
          <w:rFonts w:hint="eastAsia" w:ascii="仿宋" w:hAnsi="仿宋" w:cs="仿宋"/>
          <w:lang w:eastAsia="zh-CN"/>
        </w:rPr>
      </w:pPr>
      <w:r>
        <w:rPr>
          <w:rFonts w:hint="eastAsia" w:ascii="仿宋" w:hAnsi="仿宋" w:cs="仿宋"/>
          <w:lang w:val="en-US" w:eastAsia="zh-CN"/>
        </w:rPr>
        <w:t>数据整合符合标准合格率超过98%，</w:t>
      </w:r>
      <w:r>
        <w:rPr>
          <w:rFonts w:ascii="仿宋" w:hAnsi="仿宋" w:cs="仿宋"/>
        </w:rPr>
        <w:t>根据评分标准，该项指标得</w:t>
      </w:r>
      <w:r>
        <w:rPr>
          <w:rFonts w:hint="eastAsia" w:ascii="仿宋" w:hAnsi="仿宋" w:cs="仿宋"/>
          <w:lang w:val="en-US" w:eastAsia="zh-CN"/>
        </w:rPr>
        <w:t>7.5</w:t>
      </w:r>
      <w:r>
        <w:rPr>
          <w:rFonts w:ascii="仿宋" w:hAnsi="仿宋" w:cs="仿宋"/>
        </w:rPr>
        <w:t>分</w:t>
      </w:r>
      <w:r>
        <w:rPr>
          <w:rFonts w:hint="eastAsia" w:ascii="仿宋" w:hAnsi="仿宋" w:cs="仿宋"/>
          <w:lang w:eastAsia="zh-CN"/>
        </w:rPr>
        <w:t>。</w:t>
      </w:r>
    </w:p>
    <w:p>
      <w:pPr>
        <w:ind w:firstLine="562"/>
        <w:rPr>
          <w:rFonts w:ascii="仿宋" w:hAnsi="仿宋" w:cs="仿宋"/>
          <w:b/>
          <w:bCs/>
        </w:rPr>
      </w:pPr>
      <w:r>
        <w:rPr>
          <w:rFonts w:ascii="仿宋" w:hAnsi="仿宋" w:cs="仿宋"/>
          <w:b/>
          <w:bCs/>
        </w:rPr>
        <w:t>3、产出时效情况(5分)，该项指标得5分。</w:t>
      </w:r>
    </w:p>
    <w:p>
      <w:pPr>
        <w:rPr>
          <w:rFonts w:ascii="仿宋" w:hAnsi="仿宋" w:cs="仿宋"/>
        </w:rPr>
      </w:pPr>
      <w:r>
        <w:rPr>
          <w:rFonts w:ascii="仿宋" w:hAnsi="仿宋" w:cs="仿宋"/>
        </w:rPr>
        <w:t>201</w:t>
      </w:r>
      <w:r>
        <w:rPr>
          <w:rFonts w:hint="eastAsia" w:ascii="仿宋" w:hAnsi="仿宋" w:cs="仿宋"/>
        </w:rPr>
        <w:t>9</w:t>
      </w:r>
      <w:r>
        <w:rPr>
          <w:rFonts w:ascii="仿宋" w:hAnsi="仿宋" w:cs="仿宋"/>
        </w:rPr>
        <w:t>年底，按时完成</w:t>
      </w:r>
      <w:r>
        <w:rPr>
          <w:rFonts w:hint="eastAsia" w:ascii="仿宋" w:hAnsi="仿宋" w:cs="仿宋"/>
          <w:lang w:val="en-US" w:eastAsia="zh-CN"/>
        </w:rPr>
        <w:t>数据整合工作及硬软件安装工作</w:t>
      </w:r>
      <w:r>
        <w:rPr>
          <w:rFonts w:ascii="仿宋" w:hAnsi="仿宋" w:cs="仿宋"/>
        </w:rPr>
        <w:t>，根据评分标准，该项指标得5分。</w:t>
      </w:r>
    </w:p>
    <w:p>
      <w:pPr>
        <w:ind w:firstLine="562"/>
        <w:rPr>
          <w:rFonts w:ascii="仿宋" w:hAnsi="仿宋" w:cs="仿宋"/>
          <w:b/>
          <w:bCs/>
        </w:rPr>
      </w:pPr>
      <w:r>
        <w:rPr>
          <w:rFonts w:ascii="仿宋" w:hAnsi="仿宋" w:cs="仿宋"/>
          <w:b/>
          <w:bCs/>
        </w:rPr>
        <w:t>4、产出成本情况(</w:t>
      </w:r>
      <w:r>
        <w:rPr>
          <w:rFonts w:hint="eastAsia" w:ascii="仿宋" w:hAnsi="仿宋" w:cs="仿宋"/>
          <w:b/>
          <w:bCs/>
        </w:rPr>
        <w:t>10</w:t>
      </w:r>
      <w:r>
        <w:rPr>
          <w:rFonts w:ascii="仿宋" w:hAnsi="仿宋" w:cs="仿宋"/>
          <w:b/>
          <w:bCs/>
        </w:rPr>
        <w:t>分)，该项指标评价得分为</w:t>
      </w:r>
      <w:r>
        <w:rPr>
          <w:rFonts w:hint="eastAsia" w:ascii="仿宋" w:hAnsi="仿宋" w:cs="仿宋"/>
          <w:b/>
          <w:bCs/>
        </w:rPr>
        <w:t>10</w:t>
      </w:r>
      <w:r>
        <w:rPr>
          <w:rFonts w:ascii="仿宋" w:hAnsi="仿宋" w:cs="仿宋"/>
          <w:b/>
          <w:bCs/>
        </w:rPr>
        <w:t>分。</w:t>
      </w:r>
    </w:p>
    <w:p>
      <w:pPr>
        <w:rPr>
          <w:rFonts w:hint="eastAsia" w:ascii="仿宋" w:hAnsi="仿宋" w:cs="仿宋"/>
          <w:lang w:eastAsia="zh-CN"/>
        </w:rPr>
      </w:pPr>
      <w:r>
        <w:rPr>
          <w:rFonts w:hint="eastAsia" w:ascii="仿宋" w:hAnsi="仿宋" w:cs="仿宋"/>
          <w:lang w:eastAsia="zh-CN"/>
        </w:rPr>
        <w:t>（</w:t>
      </w:r>
      <w:r>
        <w:rPr>
          <w:rFonts w:hint="eastAsia" w:ascii="仿宋" w:hAnsi="仿宋" w:cs="仿宋"/>
          <w:lang w:val="en-US" w:eastAsia="zh-CN"/>
        </w:rPr>
        <w:t>1</w:t>
      </w:r>
      <w:r>
        <w:rPr>
          <w:rFonts w:hint="eastAsia" w:ascii="仿宋" w:hAnsi="仿宋" w:cs="仿宋"/>
          <w:lang w:eastAsia="zh-CN"/>
        </w:rPr>
        <w:t>）</w:t>
      </w:r>
      <w:r>
        <w:rPr>
          <w:rFonts w:hint="eastAsia" w:ascii="仿宋" w:hAnsi="仿宋" w:cs="仿宋"/>
          <w:lang w:val="en-US" w:eastAsia="zh-CN"/>
        </w:rPr>
        <w:t>南昌市国土资源云平台及支撑环境二期启动资金：572.4万元，</w:t>
      </w:r>
      <w:r>
        <w:rPr>
          <w:rFonts w:ascii="仿宋" w:hAnsi="仿宋" w:cs="仿宋"/>
        </w:rPr>
        <w:t>根据评分标准，该项指标得5分</w:t>
      </w:r>
      <w:r>
        <w:rPr>
          <w:rFonts w:hint="eastAsia" w:ascii="仿宋" w:hAnsi="仿宋" w:cs="仿宋"/>
          <w:lang w:eastAsia="zh-CN"/>
        </w:rPr>
        <w:t>；</w:t>
      </w:r>
    </w:p>
    <w:p>
      <w:pPr>
        <w:rPr>
          <w:rFonts w:hint="default" w:ascii="仿宋" w:hAnsi="仿宋" w:cs="仿宋"/>
          <w:lang w:val="en-US" w:eastAsia="zh-CN"/>
        </w:rPr>
      </w:pPr>
      <w:r>
        <w:rPr>
          <w:rFonts w:hint="eastAsia" w:ascii="仿宋" w:hAnsi="仿宋" w:cs="仿宋"/>
          <w:lang w:eastAsia="zh-CN"/>
        </w:rPr>
        <w:t>（</w:t>
      </w:r>
      <w:r>
        <w:rPr>
          <w:rFonts w:hint="eastAsia" w:ascii="仿宋" w:hAnsi="仿宋" w:cs="仿宋"/>
          <w:lang w:val="en-US" w:eastAsia="zh-CN"/>
        </w:rPr>
        <w:t>2</w:t>
      </w:r>
      <w:r>
        <w:rPr>
          <w:rFonts w:hint="eastAsia" w:ascii="仿宋" w:hAnsi="仿宋" w:cs="仿宋"/>
          <w:lang w:eastAsia="zh-CN"/>
        </w:rPr>
        <w:t>）</w:t>
      </w:r>
      <w:r>
        <w:rPr>
          <w:rFonts w:hint="eastAsia" w:ascii="仿宋" w:hAnsi="仿宋" w:cs="仿宋"/>
          <w:lang w:val="en-US" w:eastAsia="zh-CN"/>
        </w:rPr>
        <w:t>南昌市国土资源云数据整合二期启动资金：235.96万元，</w:t>
      </w:r>
      <w:r>
        <w:rPr>
          <w:rFonts w:ascii="仿宋" w:hAnsi="仿宋" w:cs="仿宋"/>
        </w:rPr>
        <w:t>根据评分标准，</w:t>
      </w:r>
      <w:r>
        <w:rPr>
          <w:rFonts w:hint="eastAsia" w:ascii="仿宋" w:hAnsi="仿宋" w:cs="仿宋"/>
          <w:lang w:val="en-US" w:eastAsia="zh-CN"/>
        </w:rPr>
        <w:t>该项指标得5分。</w:t>
      </w:r>
    </w:p>
    <w:p>
      <w:pPr>
        <w:ind w:firstLine="0" w:firstLineChars="0"/>
        <w:rPr>
          <w:rFonts w:ascii="仿宋" w:hAnsi="仿宋" w:cs="仿宋"/>
          <w:b/>
          <w:bCs/>
        </w:rPr>
      </w:pPr>
      <w:r>
        <w:rPr>
          <w:rFonts w:ascii="仿宋" w:hAnsi="仿宋" w:cs="仿宋"/>
          <w:b/>
          <w:bCs/>
        </w:rPr>
        <w:t>(四)项目效果指标(</w:t>
      </w:r>
      <w:r>
        <w:rPr>
          <w:rFonts w:hint="eastAsia" w:ascii="仿宋" w:hAnsi="仿宋" w:cs="仿宋"/>
          <w:b/>
          <w:bCs/>
        </w:rPr>
        <w:t>30</w:t>
      </w:r>
      <w:r>
        <w:rPr>
          <w:rFonts w:ascii="仿宋" w:hAnsi="仿宋" w:cs="仿宋"/>
          <w:b/>
          <w:bCs/>
        </w:rPr>
        <w:t>分)，根据评价原则，效益评价得分为</w:t>
      </w:r>
      <w:r>
        <w:rPr>
          <w:rFonts w:hint="eastAsia" w:ascii="仿宋" w:hAnsi="仿宋" w:cs="仿宋"/>
          <w:b/>
          <w:bCs/>
          <w:lang w:val="en-US" w:eastAsia="zh-CN"/>
        </w:rPr>
        <w:t>26</w:t>
      </w:r>
      <w:r>
        <w:rPr>
          <w:rFonts w:ascii="仿宋" w:hAnsi="仿宋" w:cs="仿宋"/>
          <w:b/>
          <w:bCs/>
        </w:rPr>
        <w:t>分。</w:t>
      </w:r>
    </w:p>
    <w:p>
      <w:pPr>
        <w:ind w:firstLine="562"/>
        <w:rPr>
          <w:rFonts w:ascii="仿宋" w:hAnsi="仿宋" w:cs="仿宋"/>
          <w:b/>
          <w:bCs/>
        </w:rPr>
      </w:pPr>
      <w:r>
        <w:rPr>
          <w:rFonts w:ascii="仿宋" w:hAnsi="仿宋" w:cs="仿宋"/>
          <w:b/>
          <w:bCs/>
        </w:rPr>
        <w:t>1、社会效益(</w:t>
      </w:r>
      <w:r>
        <w:rPr>
          <w:rFonts w:hint="eastAsia" w:ascii="仿宋" w:hAnsi="仿宋" w:cs="仿宋"/>
          <w:b/>
          <w:bCs/>
        </w:rPr>
        <w:t>20</w:t>
      </w:r>
      <w:r>
        <w:rPr>
          <w:rFonts w:ascii="仿宋" w:hAnsi="仿宋" w:cs="仿宋"/>
          <w:b/>
          <w:bCs/>
        </w:rPr>
        <w:t>分)，该项指标评价得分为</w:t>
      </w:r>
      <w:r>
        <w:rPr>
          <w:rFonts w:hint="eastAsia" w:ascii="仿宋" w:hAnsi="仿宋" w:cs="仿宋"/>
          <w:b/>
          <w:bCs/>
        </w:rPr>
        <w:t>1</w:t>
      </w:r>
      <w:r>
        <w:rPr>
          <w:rFonts w:hint="eastAsia" w:ascii="仿宋" w:hAnsi="仿宋" w:cs="仿宋"/>
          <w:b/>
          <w:bCs/>
          <w:lang w:val="en-US" w:eastAsia="zh-CN"/>
        </w:rPr>
        <w:t>8</w:t>
      </w:r>
      <w:r>
        <w:rPr>
          <w:rFonts w:ascii="仿宋" w:hAnsi="仿宋" w:cs="仿宋"/>
          <w:b/>
          <w:bCs/>
        </w:rPr>
        <w:t>分。</w:t>
      </w:r>
    </w:p>
    <w:p>
      <w:pPr>
        <w:ind w:firstLine="562"/>
        <w:rPr>
          <w:rFonts w:ascii="仿宋" w:hAnsi="仿宋" w:cs="仿宋"/>
          <w:b/>
          <w:bCs/>
          <w:sz w:val="28"/>
          <w:szCs w:val="28"/>
        </w:rPr>
      </w:pPr>
      <w:r>
        <w:rPr>
          <w:rFonts w:hint="eastAsia" w:ascii="仿宋" w:hAnsi="仿宋" w:eastAsia="仿宋" w:cs="仿宋"/>
          <w:color w:val="000000"/>
          <w:kern w:val="0"/>
          <w:sz w:val="28"/>
          <w:szCs w:val="28"/>
          <w:lang w:val="en-US" w:eastAsia="zh-CN"/>
        </w:rPr>
        <w:t>平台与大数据局平台进行接口对接，提供数据共享，为各部门提供数据支撑。</w:t>
      </w:r>
      <w:r>
        <w:rPr>
          <w:rFonts w:ascii="仿宋" w:hAnsi="仿宋" w:cs="仿宋"/>
        </w:rPr>
        <w:t>根据评分标准，</w:t>
      </w:r>
      <w:r>
        <w:rPr>
          <w:rFonts w:hint="eastAsia" w:ascii="仿宋" w:hAnsi="仿宋" w:cs="仿宋"/>
          <w:lang w:val="en-US" w:eastAsia="zh-CN"/>
        </w:rPr>
        <w:t>该项指标得18分，复评分得17分。</w:t>
      </w:r>
    </w:p>
    <w:p>
      <w:pPr>
        <w:ind w:firstLine="562"/>
        <w:rPr>
          <w:rFonts w:ascii="仿宋" w:hAnsi="仿宋" w:cs="仿宋"/>
        </w:rPr>
      </w:pPr>
      <w:r>
        <w:rPr>
          <w:rFonts w:ascii="仿宋" w:hAnsi="仿宋" w:cs="仿宋"/>
          <w:b/>
          <w:bCs/>
        </w:rPr>
        <w:t>2、可持续影响(</w:t>
      </w:r>
      <w:r>
        <w:rPr>
          <w:rFonts w:hint="eastAsia" w:ascii="仿宋" w:hAnsi="仿宋" w:cs="仿宋"/>
          <w:b/>
          <w:bCs/>
        </w:rPr>
        <w:t>10</w:t>
      </w:r>
      <w:r>
        <w:rPr>
          <w:rFonts w:ascii="仿宋" w:hAnsi="仿宋" w:cs="仿宋"/>
          <w:b/>
          <w:bCs/>
        </w:rPr>
        <w:t>分)，该项指标评价得分为</w:t>
      </w:r>
      <w:r>
        <w:rPr>
          <w:rFonts w:hint="eastAsia" w:ascii="仿宋" w:hAnsi="仿宋" w:cs="仿宋"/>
          <w:b/>
          <w:bCs/>
          <w:lang w:val="en-US" w:eastAsia="zh-CN"/>
        </w:rPr>
        <w:t>8</w:t>
      </w:r>
      <w:r>
        <w:rPr>
          <w:rFonts w:ascii="仿宋" w:hAnsi="仿宋" w:cs="仿宋"/>
          <w:b/>
          <w:bCs/>
        </w:rPr>
        <w:t>分。</w:t>
      </w:r>
    </w:p>
    <w:p>
      <w:pPr>
        <w:rPr>
          <w:rFonts w:ascii="仿宋" w:hAnsi="仿宋" w:cs="仿宋"/>
        </w:rPr>
      </w:pPr>
      <w:r>
        <w:rPr>
          <w:rFonts w:hint="eastAsia" w:ascii="仿宋" w:hAnsi="仿宋" w:cs="仿宋"/>
          <w:lang w:val="en-US" w:eastAsia="zh-CN"/>
        </w:rPr>
        <w:t>提供数据共享，简化办事流程，</w:t>
      </w:r>
      <w:r>
        <w:rPr>
          <w:rFonts w:ascii="仿宋" w:hAnsi="仿宋" w:cs="仿宋"/>
        </w:rPr>
        <w:t>根据评分标准，该项指标得</w:t>
      </w:r>
      <w:r>
        <w:rPr>
          <w:rFonts w:hint="eastAsia" w:ascii="仿宋" w:hAnsi="仿宋" w:cs="仿宋"/>
          <w:lang w:val="en-US" w:eastAsia="zh-CN"/>
        </w:rPr>
        <w:t>8</w:t>
      </w:r>
      <w:r>
        <w:rPr>
          <w:rFonts w:ascii="仿宋" w:hAnsi="仿宋" w:cs="仿宋"/>
        </w:rPr>
        <w:t>分。</w:t>
      </w:r>
    </w:p>
    <w:p>
      <w:pPr>
        <w:ind w:firstLine="0" w:firstLineChars="0"/>
        <w:rPr>
          <w:rFonts w:ascii="仿宋" w:hAnsi="仿宋" w:cs="仿宋"/>
          <w:b/>
          <w:bCs/>
        </w:rPr>
      </w:pPr>
      <w:r>
        <w:rPr>
          <w:rFonts w:ascii="仿宋" w:hAnsi="仿宋" w:cs="仿宋"/>
          <w:b/>
          <w:bCs/>
        </w:rPr>
        <w:t>(五)项目满意度(</w:t>
      </w:r>
      <w:r>
        <w:rPr>
          <w:rFonts w:hint="eastAsia" w:ascii="仿宋" w:hAnsi="仿宋" w:cs="仿宋"/>
          <w:b/>
          <w:bCs/>
        </w:rPr>
        <w:t>10</w:t>
      </w:r>
      <w:r>
        <w:rPr>
          <w:rFonts w:ascii="仿宋" w:hAnsi="仿宋" w:cs="仿宋"/>
          <w:b/>
          <w:bCs/>
        </w:rPr>
        <w:t>分)，根据评价原则，满意度评价得分为</w:t>
      </w:r>
      <w:r>
        <w:rPr>
          <w:rFonts w:hint="eastAsia" w:ascii="仿宋" w:hAnsi="仿宋" w:cs="仿宋"/>
          <w:b/>
          <w:bCs/>
        </w:rPr>
        <w:t>10</w:t>
      </w:r>
      <w:r>
        <w:rPr>
          <w:rFonts w:ascii="仿宋" w:hAnsi="仿宋" w:cs="仿宋"/>
          <w:b/>
          <w:bCs/>
        </w:rPr>
        <w:t>分。</w:t>
      </w:r>
    </w:p>
    <w:p>
      <w:pPr>
        <w:rPr>
          <w:rFonts w:ascii="仿宋" w:hAnsi="仿宋" w:cs="仿宋"/>
        </w:rPr>
      </w:pPr>
      <w:r>
        <w:rPr>
          <w:rFonts w:ascii="仿宋" w:hAnsi="仿宋" w:cs="仿宋"/>
        </w:rPr>
        <w:t>通过本单位发放的调查问卷结果显示，社会公众或服务对象满意度90%，该项指标得</w:t>
      </w:r>
      <w:r>
        <w:rPr>
          <w:rFonts w:hint="eastAsia" w:ascii="仿宋" w:hAnsi="仿宋" w:cs="仿宋"/>
        </w:rPr>
        <w:t>10</w:t>
      </w:r>
      <w:r>
        <w:rPr>
          <w:rFonts w:ascii="仿宋" w:hAnsi="仿宋" w:cs="仿宋"/>
        </w:rPr>
        <w:t>分。</w:t>
      </w:r>
    </w:p>
    <w:p>
      <w:pPr>
        <w:ind w:firstLine="0" w:firstLineChars="0"/>
        <w:rPr>
          <w:rFonts w:hint="eastAsia" w:ascii="仿宋" w:hAnsi="仿宋" w:eastAsia="仿宋" w:cs="仿宋"/>
          <w:b/>
          <w:bCs/>
          <w:sz w:val="32"/>
          <w:szCs w:val="32"/>
          <w:lang w:eastAsia="zh-CN"/>
        </w:rPr>
      </w:pPr>
      <w:r>
        <w:rPr>
          <w:rFonts w:hint="eastAsia" w:ascii="仿宋" w:hAnsi="仿宋" w:cs="仿宋"/>
          <w:b/>
          <w:bCs/>
          <w:sz w:val="32"/>
          <w:szCs w:val="32"/>
          <w:lang w:eastAsia="zh-CN"/>
        </w:rPr>
        <w:t>五</w:t>
      </w:r>
      <w:r>
        <w:rPr>
          <w:rFonts w:ascii="仿宋" w:hAnsi="仿宋" w:cs="仿宋"/>
          <w:b/>
          <w:bCs/>
          <w:sz w:val="32"/>
          <w:szCs w:val="32"/>
        </w:rPr>
        <w:t>、项目实施经验、做法、存在的问题</w:t>
      </w:r>
      <w:r>
        <w:rPr>
          <w:rFonts w:hint="eastAsia" w:ascii="仿宋" w:hAnsi="仿宋" w:cs="仿宋"/>
          <w:b/>
          <w:bCs/>
          <w:sz w:val="32"/>
          <w:szCs w:val="32"/>
          <w:lang w:eastAsia="zh-CN"/>
        </w:rPr>
        <w:t>及原因分析</w:t>
      </w:r>
    </w:p>
    <w:p>
      <w:pPr>
        <w:ind w:firstLine="281" w:firstLineChars="100"/>
        <w:rPr>
          <w:rFonts w:ascii="仿宋" w:hAnsi="仿宋" w:cs="仿宋"/>
          <w:b/>
          <w:bCs/>
        </w:rPr>
      </w:pPr>
      <w:r>
        <w:rPr>
          <w:rFonts w:hint="eastAsia" w:ascii="仿宋" w:hAnsi="仿宋" w:cs="仿宋"/>
          <w:b/>
          <w:bCs/>
          <w:lang w:eastAsia="zh-CN"/>
        </w:rPr>
        <w:t>（</w:t>
      </w:r>
      <w:r>
        <w:rPr>
          <w:rFonts w:hint="eastAsia" w:ascii="仿宋" w:hAnsi="仿宋" w:cs="仿宋"/>
          <w:b/>
          <w:bCs/>
          <w:lang w:val="en-US" w:eastAsia="zh-CN"/>
        </w:rPr>
        <w:t>一</w:t>
      </w:r>
      <w:r>
        <w:rPr>
          <w:rFonts w:hint="eastAsia" w:ascii="仿宋" w:hAnsi="仿宋" w:cs="仿宋"/>
          <w:b/>
          <w:bCs/>
          <w:lang w:eastAsia="zh-CN"/>
        </w:rPr>
        <w:t>）</w:t>
      </w:r>
      <w:r>
        <w:rPr>
          <w:rFonts w:ascii="仿宋" w:hAnsi="仿宋" w:cs="仿宋"/>
          <w:b/>
          <w:bCs/>
        </w:rPr>
        <w:t>主要经验及做法:</w:t>
      </w:r>
    </w:p>
    <w:p>
      <w:pPr>
        <w:spacing w:line="600" w:lineRule="exact"/>
        <w:ind w:firstLine="560" w:firstLineChars="200"/>
        <w:rPr>
          <w:rFonts w:ascii="宋体" w:hAnsi="宋体"/>
          <w:sz w:val="28"/>
          <w:szCs w:val="28"/>
        </w:rPr>
      </w:pPr>
      <w:r>
        <w:rPr>
          <w:rFonts w:hint="eastAsia" w:ascii="宋体" w:hAnsi="宋体"/>
          <w:sz w:val="28"/>
          <w:szCs w:val="28"/>
        </w:rPr>
        <w:t>从看、管、用三个维度出发建设三个</w:t>
      </w:r>
      <w:r>
        <w:rPr>
          <w:rFonts w:ascii="宋体" w:hAnsi="宋体"/>
          <w:sz w:val="28"/>
          <w:szCs w:val="28"/>
        </w:rPr>
        <w:t>中心</w:t>
      </w:r>
      <w:r>
        <w:rPr>
          <w:rFonts w:hint="eastAsia" w:ascii="宋体" w:hAnsi="宋体"/>
          <w:sz w:val="28"/>
          <w:szCs w:val="28"/>
        </w:rPr>
        <w:t>：</w:t>
      </w:r>
      <w:r>
        <w:rPr>
          <w:rFonts w:hint="eastAsia" w:ascii="宋体" w:hAnsi="宋体" w:cs="宋体"/>
          <w:sz w:val="28"/>
          <w:szCs w:val="28"/>
        </w:rPr>
        <w:t>即基础环境中心、数据资源中心和应用服务中心。基础环境中心是</w:t>
      </w:r>
      <w:r>
        <w:rPr>
          <w:rFonts w:hint="eastAsia" w:ascii="宋体" w:hAnsi="宋体"/>
          <w:sz w:val="28"/>
          <w:szCs w:val="28"/>
        </w:rPr>
        <w:t>管理基础设施，管控虚拟资源。</w:t>
      </w:r>
      <w:r>
        <w:rPr>
          <w:rFonts w:hint="eastAsia" w:ascii="宋体" w:hAnsi="宋体"/>
          <w:bCs/>
          <w:sz w:val="28"/>
          <w:szCs w:val="28"/>
        </w:rPr>
        <w:t>数据资源中心是</w:t>
      </w:r>
      <w:r>
        <w:rPr>
          <w:rFonts w:hint="eastAsia" w:ascii="宋体" w:hAnsi="宋体" w:cs="宋体"/>
          <w:sz w:val="28"/>
          <w:szCs w:val="28"/>
        </w:rPr>
        <w:t>对数据的管理，遵循“进的来、管的住、出的去”的方针，</w:t>
      </w:r>
      <w:r>
        <w:rPr>
          <w:rFonts w:hint="eastAsia" w:ascii="宋体" w:hAnsi="宋体"/>
          <w:sz w:val="28"/>
          <w:szCs w:val="28"/>
        </w:rPr>
        <w:t>集中统一管理数据并实现共享交换。</w:t>
      </w:r>
      <w:r>
        <w:rPr>
          <w:rFonts w:hint="eastAsia" w:ascii="宋体" w:hAnsi="宋体"/>
          <w:bCs/>
          <w:sz w:val="28"/>
          <w:szCs w:val="28"/>
        </w:rPr>
        <w:t>应用服务中心是</w:t>
      </w:r>
      <w:r>
        <w:rPr>
          <w:rFonts w:hint="eastAsia" w:ascii="宋体" w:hAnsi="宋体"/>
          <w:sz w:val="28"/>
          <w:szCs w:val="28"/>
        </w:rPr>
        <w:t>为业务应用建设提供各类服务，实现应用的组件化构建和应用全生命周期管理。</w:t>
      </w:r>
    </w:p>
    <w:p>
      <w:pPr>
        <w:spacing w:line="360" w:lineRule="auto"/>
        <w:ind w:firstLine="560" w:firstLineChars="200"/>
        <w:rPr>
          <w:rFonts w:ascii="宋体" w:hAnsi="宋体"/>
          <w:sz w:val="28"/>
          <w:szCs w:val="28"/>
        </w:rPr>
      </w:pPr>
      <w:r>
        <w:rPr>
          <w:rFonts w:ascii="宋体" w:hAnsi="宋体"/>
          <w:sz w:val="28"/>
          <w:szCs w:val="28"/>
        </w:rPr>
        <w:t>云平台管理技术</w:t>
      </w:r>
      <w:r>
        <w:rPr>
          <w:rFonts w:hint="eastAsia" w:ascii="宋体" w:hAnsi="宋体"/>
          <w:sz w:val="28"/>
          <w:szCs w:val="28"/>
        </w:rPr>
        <w:t>：</w:t>
      </w:r>
      <w:r>
        <w:rPr>
          <w:rFonts w:hint="eastAsia" w:ascii="宋体" w:hAnsi="宋体" w:cs="宋体"/>
          <w:sz w:val="28"/>
          <w:szCs w:val="28"/>
        </w:rPr>
        <w:t>平台建设使用多种云服务技术，其中云资源在物理上以分布式的共享方式存在，在逻辑上以单一整体的形式呈现给用户。云资源调度是将资源从资源提供方分配给用户的一个过程。先进的云计算资源调度技术是提高云计算系统性能的关键之一。而云系统负载均衡，是决定系统计算和服务能力的核心因素。在对云资源调度问题的形式化描述基础上，定义了负载均衡系数，构建了云资源调度负载均衡模型。针对云资源调度中的用户需求及服务器属性的差异性问题，提出了一种基于最大需求优先和最闲服务器被选原则的云计算资源调度方法，并进行了算法设计与分析，给出了系统负载均衡系数的动态计算公式。</w:t>
      </w:r>
    </w:p>
    <w:p>
      <w:pPr>
        <w:ind w:firstLine="560" w:firstLineChars="200"/>
        <w:rPr>
          <w:rFonts w:ascii="仿宋" w:hAnsi="仿宋" w:cs="仿宋"/>
          <w:b/>
          <w:bCs/>
        </w:rPr>
      </w:pPr>
      <w:r>
        <w:rPr>
          <w:rFonts w:hint="eastAsia" w:ascii="宋体" w:hAnsi="宋体"/>
          <w:sz w:val="28"/>
          <w:szCs w:val="28"/>
        </w:rPr>
        <w:t>门户集成应用入口：</w:t>
      </w:r>
      <w:r>
        <w:rPr>
          <w:rFonts w:hint="eastAsia" w:ascii="宋体" w:hAnsi="宋体" w:cs="宋体"/>
          <w:sz w:val="28"/>
          <w:szCs w:val="28"/>
        </w:rPr>
        <w:t>综合管理服务门户为用户提供数据、服务和应用的一站式入口，提供接入平台的所有应用及</w:t>
      </w:r>
      <w:r>
        <w:rPr>
          <w:rFonts w:ascii="宋体" w:hAnsi="宋体" w:cs="宋体"/>
          <w:sz w:val="28"/>
          <w:szCs w:val="28"/>
        </w:rPr>
        <w:t>各类服务的</w:t>
      </w:r>
      <w:r>
        <w:rPr>
          <w:rFonts w:hint="eastAsia" w:ascii="宋体" w:hAnsi="宋体" w:cs="宋体"/>
          <w:sz w:val="28"/>
          <w:szCs w:val="28"/>
        </w:rPr>
        <w:t>入口，通过点击菜单可直接进入到业务系统。由于应用系统较多，根据业务类别将应用进行分类，目前页面展示了十类应用，通过点击应用图标可查看具体的应用系统，点击应用系统即可进入到相应的系统中。</w:t>
      </w:r>
    </w:p>
    <w:p>
      <w:pPr>
        <w:numPr>
          <w:ilvl w:val="0"/>
          <w:numId w:val="10"/>
        </w:numPr>
        <w:ind w:firstLine="281" w:firstLineChars="100"/>
        <w:rPr>
          <w:rFonts w:hint="eastAsia" w:ascii="仿宋" w:hAnsi="仿宋" w:cs="仿宋"/>
        </w:rPr>
      </w:pPr>
      <w:r>
        <w:rPr>
          <w:rFonts w:ascii="仿宋" w:hAnsi="仿宋" w:cs="仿宋"/>
          <w:b/>
          <w:bCs/>
        </w:rPr>
        <w:t>存在的问题:</w:t>
      </w:r>
      <w:r>
        <w:rPr>
          <w:rFonts w:hint="eastAsia" w:ascii="仿宋" w:hAnsi="仿宋" w:cs="仿宋"/>
        </w:rPr>
        <w:t>无</w:t>
      </w:r>
    </w:p>
    <w:p>
      <w:pPr>
        <w:ind w:firstLine="0" w:firstLineChars="0"/>
        <w:rPr>
          <w:rFonts w:hint="eastAsia" w:ascii="仿宋" w:hAnsi="仿宋" w:eastAsia="仿宋" w:cs="仿宋"/>
          <w:b/>
          <w:bCs/>
          <w:sz w:val="32"/>
          <w:szCs w:val="32"/>
          <w:lang w:eastAsia="zh-CN"/>
        </w:rPr>
      </w:pPr>
      <w:r>
        <w:rPr>
          <w:rFonts w:hint="eastAsia" w:ascii="仿宋" w:hAnsi="仿宋" w:cs="仿宋"/>
          <w:b/>
          <w:bCs/>
          <w:sz w:val="32"/>
          <w:szCs w:val="32"/>
          <w:lang w:eastAsia="zh-CN"/>
        </w:rPr>
        <w:t>六</w:t>
      </w:r>
      <w:r>
        <w:rPr>
          <w:rFonts w:ascii="仿宋" w:hAnsi="仿宋" w:cs="仿宋"/>
          <w:b/>
          <w:bCs/>
          <w:sz w:val="32"/>
          <w:szCs w:val="32"/>
        </w:rPr>
        <w:t>、</w:t>
      </w:r>
      <w:r>
        <w:rPr>
          <w:rFonts w:hint="eastAsia" w:ascii="仿宋" w:hAnsi="仿宋" w:cs="仿宋"/>
          <w:b/>
          <w:bCs/>
          <w:sz w:val="32"/>
          <w:szCs w:val="32"/>
          <w:lang w:eastAsia="zh-CN"/>
        </w:rPr>
        <w:t>有关建议</w:t>
      </w:r>
    </w:p>
    <w:p>
      <w:pPr>
        <w:rPr>
          <w:rFonts w:ascii="仿宋" w:hAnsi="仿宋" w:cs="仿宋"/>
        </w:rPr>
      </w:pPr>
      <w:r>
        <w:rPr>
          <w:rFonts w:ascii="仿宋" w:hAnsi="仿宋" w:cs="仿宋"/>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pPr>
        <w:numPr>
          <w:ilvl w:val="0"/>
          <w:numId w:val="11"/>
        </w:numPr>
        <w:rPr>
          <w:rFonts w:hint="eastAsia" w:ascii="仿宋" w:hAnsi="仿宋" w:cs="仿宋"/>
          <w:b/>
          <w:bCs/>
          <w:lang w:eastAsia="zh-CN"/>
        </w:rPr>
      </w:pPr>
      <w:r>
        <w:rPr>
          <w:rFonts w:hint="eastAsia" w:ascii="仿宋" w:hAnsi="仿宋" w:cs="仿宋"/>
          <w:b/>
          <w:bCs/>
          <w:lang w:eastAsia="zh-CN"/>
        </w:rPr>
        <w:t>其他需要说明的问题</w:t>
      </w:r>
    </w:p>
    <w:p>
      <w:pPr>
        <w:numPr>
          <w:ilvl w:val="0"/>
          <w:numId w:val="0"/>
        </w:numPr>
        <w:rPr>
          <w:rFonts w:hint="default" w:ascii="仿宋" w:hAnsi="仿宋" w:cs="仿宋"/>
          <w:lang w:val="en-US" w:eastAsia="zh-CN"/>
        </w:rPr>
      </w:pPr>
      <w:r>
        <w:rPr>
          <w:rFonts w:hint="eastAsia" w:ascii="仿宋" w:hAnsi="仿宋" w:cs="仿宋"/>
          <w:lang w:val="en-US" w:eastAsia="zh-CN"/>
        </w:rPr>
        <w:t xml:space="preserve">    无</w:t>
      </w:r>
    </w:p>
    <w:p>
      <w:pPr>
        <w:numPr>
          <w:ilvl w:val="0"/>
          <w:numId w:val="0"/>
        </w:numPr>
        <w:rPr>
          <w:rFonts w:hint="eastAsia" w:ascii="仿宋" w:hAnsi="仿宋" w:cs="仿宋"/>
        </w:rPr>
      </w:pPr>
    </w:p>
    <w:p>
      <w:pPr>
        <w:spacing w:line="240" w:lineRule="auto"/>
        <w:ind w:firstLine="1124" w:firstLineChars="400"/>
        <w:jc w:val="left"/>
        <w:rPr>
          <w:rFonts w:ascii="仿宋" w:hAnsi="仿宋"/>
          <w:b/>
          <w:szCs w:val="28"/>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sdtPr>
    <w:sdtContent>
      <w:p>
        <w:pPr>
          <w:pStyle w:val="7"/>
          <w:ind w:firstLine="360"/>
          <w:jc w:val="center"/>
        </w:pPr>
        <w:r>
          <w:fldChar w:fldCharType="begin"/>
        </w:r>
        <w:r>
          <w:instrText xml:space="preserve">PAGE   \* MERGEFORMAT</w:instrText>
        </w:r>
        <w:r>
          <w:fldChar w:fldCharType="separate"/>
        </w:r>
        <w:r>
          <w:rPr>
            <w:lang w:val="zh-CN"/>
          </w:rPr>
          <w:t>6</w:t>
        </w:r>
        <w:r>
          <w:fldChar w:fldCharType="end"/>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rPr>
        <w:sz w:val="21"/>
        <w:szCs w:val="21"/>
      </w:rPr>
    </w:pPr>
    <w:r>
      <w:rPr>
        <w:rFonts w:hint="eastAsia"/>
        <w:sz w:val="21"/>
        <w:szCs w:val="21"/>
      </w:rPr>
      <w:t>南昌市“国土资源云”建设工程项目（二期）项目绩效自评报告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83DC8"/>
    <w:multiLevelType w:val="singleLevel"/>
    <w:tmpl w:val="8F683DC8"/>
    <w:lvl w:ilvl="0" w:tentative="0">
      <w:start w:val="1"/>
      <w:numFmt w:val="decimal"/>
      <w:lvlText w:val="(%1)"/>
      <w:lvlJc w:val="left"/>
      <w:pPr>
        <w:tabs>
          <w:tab w:val="left" w:pos="312"/>
        </w:tabs>
      </w:pPr>
    </w:lvl>
  </w:abstractNum>
  <w:abstractNum w:abstractNumId="1">
    <w:nsid w:val="AECCAED7"/>
    <w:multiLevelType w:val="singleLevel"/>
    <w:tmpl w:val="AECCAED7"/>
    <w:lvl w:ilvl="0" w:tentative="0">
      <w:start w:val="2"/>
      <w:numFmt w:val="chineseCounting"/>
      <w:suff w:val="nothing"/>
      <w:lvlText w:val="（%1）"/>
      <w:lvlJc w:val="left"/>
      <w:rPr>
        <w:rFonts w:hint="eastAsia"/>
      </w:rPr>
    </w:lvl>
  </w:abstractNum>
  <w:abstractNum w:abstractNumId="2">
    <w:nsid w:val="C1D12FB6"/>
    <w:multiLevelType w:val="singleLevel"/>
    <w:tmpl w:val="C1D12FB6"/>
    <w:lvl w:ilvl="0" w:tentative="0">
      <w:start w:val="3"/>
      <w:numFmt w:val="chineseCounting"/>
      <w:suff w:val="nothing"/>
      <w:lvlText w:val="%1、"/>
      <w:lvlJc w:val="left"/>
      <w:rPr>
        <w:rFonts w:hint="eastAsia"/>
      </w:rPr>
    </w:lvl>
  </w:abstractNum>
  <w:abstractNum w:abstractNumId="3">
    <w:nsid w:val="F7EF5FEE"/>
    <w:multiLevelType w:val="singleLevel"/>
    <w:tmpl w:val="F7EF5FEE"/>
    <w:lvl w:ilvl="0" w:tentative="0">
      <w:start w:val="2"/>
      <w:numFmt w:val="decimal"/>
      <w:suff w:val="nothing"/>
      <w:lvlText w:val="%1、"/>
      <w:lvlJc w:val="left"/>
    </w:lvl>
  </w:abstractNum>
  <w:abstractNum w:abstractNumId="4">
    <w:nsid w:val="F80FBDE2"/>
    <w:multiLevelType w:val="singleLevel"/>
    <w:tmpl w:val="F80FBDE2"/>
    <w:lvl w:ilvl="0" w:tentative="0">
      <w:start w:val="1"/>
      <w:numFmt w:val="decimal"/>
      <w:suff w:val="nothing"/>
      <w:lvlText w:val="（%1）"/>
      <w:lvlJc w:val="left"/>
    </w:lvl>
  </w:abstractNum>
  <w:abstractNum w:abstractNumId="5">
    <w:nsid w:val="FDD500BD"/>
    <w:multiLevelType w:val="singleLevel"/>
    <w:tmpl w:val="FDD500BD"/>
    <w:lvl w:ilvl="0" w:tentative="0">
      <w:start w:val="1"/>
      <w:numFmt w:val="decimal"/>
      <w:suff w:val="nothing"/>
      <w:lvlText w:val="%1、"/>
      <w:lvlJc w:val="left"/>
    </w:lvl>
  </w:abstractNum>
  <w:abstractNum w:abstractNumId="6">
    <w:nsid w:val="00E6C5F2"/>
    <w:multiLevelType w:val="singleLevel"/>
    <w:tmpl w:val="00E6C5F2"/>
    <w:lvl w:ilvl="0" w:tentative="0">
      <w:start w:val="7"/>
      <w:numFmt w:val="chineseCounting"/>
      <w:suff w:val="nothing"/>
      <w:lvlText w:val="%1、"/>
      <w:lvlJc w:val="left"/>
      <w:rPr>
        <w:rFonts w:hint="eastAsia"/>
      </w:rPr>
    </w:lvl>
  </w:abstractNum>
  <w:abstractNum w:abstractNumId="7">
    <w:nsid w:val="05B4B4B5"/>
    <w:multiLevelType w:val="singleLevel"/>
    <w:tmpl w:val="05B4B4B5"/>
    <w:lvl w:ilvl="0" w:tentative="0">
      <w:start w:val="2"/>
      <w:numFmt w:val="chineseCounting"/>
      <w:suff w:val="nothing"/>
      <w:lvlText w:val="（%1）"/>
      <w:lvlJc w:val="left"/>
      <w:rPr>
        <w:rFonts w:hint="eastAsia"/>
      </w:rPr>
    </w:lvl>
  </w:abstractNum>
  <w:abstractNum w:abstractNumId="8">
    <w:nsid w:val="4162F27F"/>
    <w:multiLevelType w:val="singleLevel"/>
    <w:tmpl w:val="4162F27F"/>
    <w:lvl w:ilvl="0" w:tentative="0">
      <w:start w:val="1"/>
      <w:numFmt w:val="decimal"/>
      <w:suff w:val="nothing"/>
      <w:lvlText w:val="（%1）"/>
      <w:lvlJc w:val="left"/>
    </w:lvl>
  </w:abstractNum>
  <w:abstractNum w:abstractNumId="9">
    <w:nsid w:val="58619491"/>
    <w:multiLevelType w:val="singleLevel"/>
    <w:tmpl w:val="58619491"/>
    <w:lvl w:ilvl="0" w:tentative="0">
      <w:start w:val="1"/>
      <w:numFmt w:val="decimal"/>
      <w:suff w:val="nothing"/>
      <w:lvlText w:val="（%1）"/>
      <w:lvlJc w:val="left"/>
    </w:lvl>
  </w:abstractNum>
  <w:abstractNum w:abstractNumId="10">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3"/>
  </w:num>
  <w:num w:numId="2">
    <w:abstractNumId w:val="8"/>
  </w:num>
  <w:num w:numId="3">
    <w:abstractNumId w:val="4"/>
  </w:num>
  <w:num w:numId="4">
    <w:abstractNumId w:val="10"/>
  </w:num>
  <w:num w:numId="5">
    <w:abstractNumId w:val="9"/>
  </w:num>
  <w:num w:numId="6">
    <w:abstractNumId w:val="2"/>
  </w:num>
  <w:num w:numId="7">
    <w:abstractNumId w:val="7"/>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5F63"/>
    <w:rsid w:val="00013247"/>
    <w:rsid w:val="00042CCF"/>
    <w:rsid w:val="000510C0"/>
    <w:rsid w:val="00055BE0"/>
    <w:rsid w:val="00070837"/>
    <w:rsid w:val="00073649"/>
    <w:rsid w:val="0007733B"/>
    <w:rsid w:val="00087A3F"/>
    <w:rsid w:val="00087AD8"/>
    <w:rsid w:val="000A1304"/>
    <w:rsid w:val="000D771B"/>
    <w:rsid w:val="0010338B"/>
    <w:rsid w:val="001125E8"/>
    <w:rsid w:val="00144E86"/>
    <w:rsid w:val="001D661F"/>
    <w:rsid w:val="001D733D"/>
    <w:rsid w:val="001E1D32"/>
    <w:rsid w:val="001E2811"/>
    <w:rsid w:val="00263998"/>
    <w:rsid w:val="00277AE5"/>
    <w:rsid w:val="0028547D"/>
    <w:rsid w:val="002B61D7"/>
    <w:rsid w:val="0030264C"/>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81D49"/>
    <w:rsid w:val="005D17BE"/>
    <w:rsid w:val="005E1424"/>
    <w:rsid w:val="006310AF"/>
    <w:rsid w:val="00662689"/>
    <w:rsid w:val="006917A9"/>
    <w:rsid w:val="006F4C66"/>
    <w:rsid w:val="00701B5E"/>
    <w:rsid w:val="007429D3"/>
    <w:rsid w:val="00750550"/>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8F5450"/>
    <w:rsid w:val="009125BD"/>
    <w:rsid w:val="00951470"/>
    <w:rsid w:val="0097107D"/>
    <w:rsid w:val="00985BF8"/>
    <w:rsid w:val="00987B86"/>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37807"/>
    <w:rsid w:val="00C414FA"/>
    <w:rsid w:val="00C80107"/>
    <w:rsid w:val="00C81493"/>
    <w:rsid w:val="00C85ED8"/>
    <w:rsid w:val="00CA7BF4"/>
    <w:rsid w:val="00CC32A1"/>
    <w:rsid w:val="00CE465C"/>
    <w:rsid w:val="00D04838"/>
    <w:rsid w:val="00D169C7"/>
    <w:rsid w:val="00D23934"/>
    <w:rsid w:val="00D33BBB"/>
    <w:rsid w:val="00D8080E"/>
    <w:rsid w:val="00DB4E99"/>
    <w:rsid w:val="00DC6FAF"/>
    <w:rsid w:val="00DD345D"/>
    <w:rsid w:val="00E00E07"/>
    <w:rsid w:val="00E77C10"/>
    <w:rsid w:val="00E82BB8"/>
    <w:rsid w:val="00EE071B"/>
    <w:rsid w:val="00EE309E"/>
    <w:rsid w:val="00EF3DC4"/>
    <w:rsid w:val="00F61610"/>
    <w:rsid w:val="00F7379B"/>
    <w:rsid w:val="00F8650E"/>
    <w:rsid w:val="00FC7E97"/>
    <w:rsid w:val="00FD1D35"/>
    <w:rsid w:val="00FE2648"/>
    <w:rsid w:val="04893D01"/>
    <w:rsid w:val="07172A35"/>
    <w:rsid w:val="092801ED"/>
    <w:rsid w:val="09A14E36"/>
    <w:rsid w:val="0A6B7438"/>
    <w:rsid w:val="0B682FFA"/>
    <w:rsid w:val="15443624"/>
    <w:rsid w:val="18D241C1"/>
    <w:rsid w:val="1DD9160F"/>
    <w:rsid w:val="28BA51E4"/>
    <w:rsid w:val="298F1CA4"/>
    <w:rsid w:val="2F620B1F"/>
    <w:rsid w:val="349404DE"/>
    <w:rsid w:val="37CD3A8A"/>
    <w:rsid w:val="3D7954BD"/>
    <w:rsid w:val="45445152"/>
    <w:rsid w:val="50193F22"/>
    <w:rsid w:val="519F095F"/>
    <w:rsid w:val="52B42AE0"/>
    <w:rsid w:val="5B0B37F5"/>
    <w:rsid w:val="5CF01787"/>
    <w:rsid w:val="61BC7BC5"/>
    <w:rsid w:val="65A91917"/>
    <w:rsid w:val="68D94391"/>
    <w:rsid w:val="69FE63D9"/>
    <w:rsid w:val="6E234D0A"/>
    <w:rsid w:val="6E724567"/>
    <w:rsid w:val="7369434C"/>
    <w:rsid w:val="79FF3ABA"/>
    <w:rsid w:val="7D2B04CE"/>
    <w:rsid w:val="7EBA50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3">
    <w:name w:val="heading 2"/>
    <w:basedOn w:val="1"/>
    <w:next w:val="1"/>
    <w:link w:val="15"/>
    <w:unhideWhenUsed/>
    <w:qFormat/>
    <w:uiPriority w:val="9"/>
    <w:pPr>
      <w:keepNext/>
      <w:keepLines/>
      <w:spacing w:beforeLines="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left" w:pos="1823"/>
        <w:tab w:val="right" w:leader="dot" w:pos="8630"/>
      </w:tabs>
      <w:ind w:left="1120" w:leftChars="400"/>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320"/>
        <w:tab w:val="right" w:pos="8640"/>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320"/>
        <w:tab w:val="right" w:pos="8640"/>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yperlink"/>
    <w:basedOn w:val="13"/>
    <w:unhideWhenUsed/>
    <w:qFormat/>
    <w:uiPriority w:val="99"/>
    <w:rPr>
      <w:color w:val="0563C1" w:themeColor="hyperlink"/>
      <w:u w:val="single"/>
    </w:rPr>
  </w:style>
  <w:style w:type="character" w:customStyle="1" w:styleId="15">
    <w:name w:val="标题 2 Char"/>
    <w:basedOn w:val="13"/>
    <w:link w:val="3"/>
    <w:qFormat/>
    <w:uiPriority w:val="9"/>
    <w:rPr>
      <w:rFonts w:ascii="仿宋" w:hAnsi="仿宋" w:eastAsia="仿宋" w:cstheme="majorBidi"/>
      <w:b/>
      <w:bCs/>
      <w:sz w:val="32"/>
      <w:szCs w:val="32"/>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paragraph" w:styleId="18">
    <w:name w:val="List Paragraph"/>
    <w:basedOn w:val="1"/>
    <w:qFormat/>
    <w:uiPriority w:val="0"/>
    <w:pPr>
      <w:ind w:firstLine="420"/>
    </w:pPr>
    <w:rPr>
      <w:rFonts w:ascii="Calibri" w:hAnsi="Calibri"/>
    </w:rPr>
  </w:style>
  <w:style w:type="paragraph" w:customStyle="1" w:styleId="1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character" w:customStyle="1" w:styleId="20">
    <w:name w:val="批注框文本 Char"/>
    <w:basedOn w:val="13"/>
    <w:link w:val="6"/>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4702F-6217-49A1-AA5E-A0865F37672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937</Words>
  <Characters>5342</Characters>
  <Lines>44</Lines>
  <Paragraphs>12</Paragraphs>
  <TotalTime>1</TotalTime>
  <ScaleCrop>false</ScaleCrop>
  <LinksUpToDate>false</LinksUpToDate>
  <CharactersWithSpaces>6267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2020-04-16T06:38:00Z</dcterms:created>
  <dc:creator>administrator</dc:creator>
  <cp:lastModifiedBy>璐</cp:lastModifiedBy>
  <cp:lastPrinted>2020-04-29T03:03:00Z</cp:lastPrinted>
  <dcterms:modified xsi:type="dcterms:W3CDTF">2020-06-19T02:15:23Z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